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1" w:rsidRDefault="00826461" w:rsidP="00826461">
      <w:pPr>
        <w:pStyle w:val="Titolo1"/>
      </w:pPr>
      <w:r>
        <w:t>GUIDA PER GLI AUTORI</w:t>
      </w:r>
    </w:p>
    <w:p w:rsidR="00826461" w:rsidRDefault="00826461" w:rsidP="00826461">
      <w:pPr>
        <w:spacing w:line="360" w:lineRule="auto"/>
        <w:jc w:val="both"/>
      </w:pPr>
    </w:p>
    <w:p w:rsidR="00826461" w:rsidRDefault="00826461" w:rsidP="00826461">
      <w:pPr>
        <w:tabs>
          <w:tab w:val="left" w:pos="360"/>
        </w:tabs>
        <w:spacing w:line="360" w:lineRule="auto"/>
        <w:ind w:left="720" w:hanging="720"/>
        <w:jc w:val="both"/>
      </w:pPr>
      <w:r>
        <w:t>1.</w:t>
      </w:r>
      <w:r>
        <w:tab/>
      </w:r>
      <w:r>
        <w:rPr>
          <w:b/>
          <w:bCs/>
        </w:rPr>
        <w:t>ATTENERSI STRETTAMENTE AL LAYOUT DEL FILE</w:t>
      </w:r>
      <w:r>
        <w:t xml:space="preserve"> che trovate di seguito dove sono indicate le dimensioni dei caratteri e le norme da osservare per i riferimenti bibliografici.</w:t>
      </w:r>
    </w:p>
    <w:p w:rsidR="00826461" w:rsidRDefault="00826461" w:rsidP="00826461">
      <w:pPr>
        <w:tabs>
          <w:tab w:val="left" w:pos="360"/>
        </w:tabs>
        <w:spacing w:line="360" w:lineRule="auto"/>
        <w:ind w:left="720" w:hanging="720"/>
        <w:jc w:val="both"/>
      </w:pPr>
      <w:r>
        <w:t>2.</w:t>
      </w:r>
      <w:r>
        <w:tab/>
        <w:t xml:space="preserve">Inviare il documento in formato .doc o .rtf e in .pdf a: </w:t>
      </w:r>
      <w:r>
        <w:fldChar w:fldCharType="begin"/>
      </w:r>
      <w:r>
        <w:instrText xml:space="preserve"> HYPERLINK "mailto:aiam.congr@gmail.com"</w:instrText>
      </w:r>
      <w:r>
        <w:fldChar w:fldCharType="separate"/>
      </w:r>
      <w:r>
        <w:rPr>
          <w:rStyle w:val="Hyperlink"/>
          <w:b/>
          <w:bCs/>
        </w:rPr>
        <w:t>aiam.congr@gmail.com</w:t>
      </w:r>
      <w:r>
        <w:fldChar w:fldCharType="end"/>
      </w:r>
      <w:r>
        <w:rPr>
          <w:b/>
          <w:bCs/>
        </w:rPr>
        <w:t xml:space="preserve"> e </w:t>
      </w:r>
      <w:r>
        <w:fldChar w:fldCharType="begin"/>
      </w:r>
      <w:r>
        <w:instrText xml:space="preserve"> HYPERLINK "mailto:segreteria@agrometeorologia.it"</w:instrText>
      </w:r>
      <w:r>
        <w:fldChar w:fldCharType="separate"/>
      </w:r>
      <w:r>
        <w:rPr>
          <w:rStyle w:val="Hyperlink"/>
          <w:b/>
          <w:bCs/>
        </w:rPr>
        <w:t>segreteria@agrometeorologia.it</w:t>
      </w:r>
      <w:r>
        <w:fldChar w:fldCharType="end"/>
      </w:r>
      <w:r>
        <w:rPr>
          <w:b/>
          <w:bCs/>
        </w:rPr>
        <w:t>.</w:t>
      </w:r>
    </w:p>
    <w:p w:rsidR="00826461" w:rsidRDefault="00826461" w:rsidP="00826461">
      <w:pPr>
        <w:tabs>
          <w:tab w:val="left" w:pos="360"/>
        </w:tabs>
        <w:spacing w:line="360" w:lineRule="auto"/>
        <w:ind w:left="720" w:hanging="720"/>
        <w:jc w:val="both"/>
      </w:pPr>
      <w:r>
        <w:t>3.</w:t>
      </w:r>
      <w:r>
        <w:tab/>
        <w:t>I paragrafi “Risultati” e “Discussioni” potranno essere unificati, così come “Discussioni” e “Conclusioni”. Il paragrafo “Ringraziamenti” è opzionale.</w:t>
      </w:r>
    </w:p>
    <w:p w:rsidR="00826461" w:rsidRDefault="00826461" w:rsidP="00826461">
      <w:pPr>
        <w:tabs>
          <w:tab w:val="left" w:pos="360"/>
        </w:tabs>
        <w:spacing w:line="360" w:lineRule="auto"/>
        <w:ind w:left="720" w:hanging="720"/>
        <w:jc w:val="both"/>
      </w:pPr>
      <w:r>
        <w:t>4.</w:t>
      </w:r>
      <w:r>
        <w:tab/>
        <w:t xml:space="preserve">Il manoscritto non deve superare le </w:t>
      </w:r>
      <w:r>
        <w:rPr>
          <w:b/>
          <w:bCs/>
        </w:rPr>
        <w:t>cinque pagine</w:t>
      </w:r>
      <w:r>
        <w:t xml:space="preserve"> utilizzando il </w:t>
      </w:r>
      <w:r>
        <w:rPr>
          <w:b/>
          <w:bCs/>
        </w:rPr>
        <w:t>layout proposto</w:t>
      </w:r>
      <w:r>
        <w:t>, tabelle e figure comprese.</w:t>
      </w:r>
    </w:p>
    <w:p w:rsidR="00826461" w:rsidRDefault="00826461" w:rsidP="00826461">
      <w:pPr>
        <w:tabs>
          <w:tab w:val="left" w:pos="360"/>
        </w:tabs>
        <w:spacing w:line="360" w:lineRule="auto"/>
        <w:ind w:left="720" w:hanging="720"/>
        <w:jc w:val="both"/>
      </w:pPr>
      <w:r>
        <w:t>5.</w:t>
      </w:r>
      <w:r>
        <w:tab/>
        <w:t xml:space="preserve">Per completezza si forniscono le caratteristiche del testo, che dovrà essere composto su </w:t>
      </w:r>
      <w:r>
        <w:rPr>
          <w:b/>
          <w:bCs/>
        </w:rPr>
        <w:t>due colonne</w:t>
      </w:r>
      <w:r>
        <w:t xml:space="preserve"> (dal paragrafo “Introduzione” al paragrafo “Bibliografia”) aventi </w:t>
      </w:r>
      <w:r>
        <w:rPr>
          <w:b/>
          <w:bCs/>
        </w:rPr>
        <w:t>larghezza</w:t>
      </w:r>
      <w:r>
        <w:t xml:space="preserve"> di </w:t>
      </w:r>
      <w:r>
        <w:rPr>
          <w:b/>
          <w:bCs/>
        </w:rPr>
        <w:t>8,5 cm</w:t>
      </w:r>
      <w:r>
        <w:t xml:space="preserve">; lo </w:t>
      </w:r>
      <w:r>
        <w:rPr>
          <w:b/>
          <w:bCs/>
        </w:rPr>
        <w:t>spazio tra le due colonne</w:t>
      </w:r>
      <w:r>
        <w:t xml:space="preserve"> deve essere di </w:t>
      </w:r>
      <w:r>
        <w:rPr>
          <w:b/>
          <w:bCs/>
        </w:rPr>
        <w:t>0,5 cm</w:t>
      </w:r>
      <w:r>
        <w:t xml:space="preserve">. </w:t>
      </w:r>
    </w:p>
    <w:p w:rsidR="00826461" w:rsidRDefault="00826461" w:rsidP="00826461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hanging="720"/>
        <w:jc w:val="both"/>
      </w:pPr>
      <w:r>
        <w:t xml:space="preserve">Le </w:t>
      </w:r>
      <w:r>
        <w:rPr>
          <w:b/>
          <w:bCs/>
        </w:rPr>
        <w:t>figure</w:t>
      </w:r>
      <w:r>
        <w:t xml:space="preserve"> e le </w:t>
      </w:r>
      <w:r>
        <w:rPr>
          <w:b/>
          <w:bCs/>
        </w:rPr>
        <w:t>tabelle</w:t>
      </w:r>
      <w:r>
        <w:t xml:space="preserve"> devono essere </w:t>
      </w:r>
      <w:r>
        <w:rPr>
          <w:b/>
          <w:bCs/>
        </w:rPr>
        <w:t>inserite direttamente nel testo</w:t>
      </w:r>
      <w:r>
        <w:t>. Si richiede tuttavia di inviarle anche nei formati originali (.doc o .xls per le tabelle e .jpg o .bmp per le figure).</w:t>
      </w:r>
    </w:p>
    <w:p w:rsidR="00826461" w:rsidRDefault="00826461" w:rsidP="00826461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hanging="720"/>
        <w:jc w:val="both"/>
      </w:pPr>
      <w:r>
        <w:t xml:space="preserve">A tal proposito si sottolinea che le </w:t>
      </w:r>
      <w:r>
        <w:rPr>
          <w:b/>
          <w:bCs/>
        </w:rPr>
        <w:t>didascalie</w:t>
      </w:r>
      <w:r>
        <w:t xml:space="preserve"> delle </w:t>
      </w:r>
      <w:r>
        <w:rPr>
          <w:b/>
          <w:bCs/>
        </w:rPr>
        <w:t>figure</w:t>
      </w:r>
      <w:r>
        <w:t xml:space="preserve"> vanno poste al di </w:t>
      </w:r>
      <w:r>
        <w:rPr>
          <w:b/>
          <w:bCs/>
        </w:rPr>
        <w:t>sotto</w:t>
      </w:r>
      <w:r>
        <w:t xml:space="preserve"> delle suddette, mentre nel caso delle </w:t>
      </w:r>
      <w:r>
        <w:rPr>
          <w:b/>
          <w:bCs/>
        </w:rPr>
        <w:t>tabelle</w:t>
      </w:r>
      <w:r>
        <w:t xml:space="preserve"> le </w:t>
      </w:r>
      <w:r>
        <w:rPr>
          <w:b/>
          <w:bCs/>
        </w:rPr>
        <w:t>didascalie</w:t>
      </w:r>
      <w:r>
        <w:t xml:space="preserve"> vanno poste al di </w:t>
      </w:r>
      <w:r>
        <w:rPr>
          <w:b/>
          <w:bCs/>
        </w:rPr>
        <w:t>sopra</w:t>
      </w:r>
      <w:r>
        <w:t>.</w:t>
      </w:r>
    </w:p>
    <w:p w:rsidR="00826461" w:rsidRDefault="00826461" w:rsidP="00826461">
      <w:pPr>
        <w:pStyle w:val="Corpodeltesto21"/>
        <w:pageBreakBefore/>
        <w:jc w:val="center"/>
      </w:pPr>
      <w:r>
        <w:rPr>
          <w:sz w:val="28"/>
          <w:szCs w:val="28"/>
        </w:rPr>
        <w:lastRenderedPageBreak/>
        <w:t>TITOLO IN ITALIANO (TIMES NEW ROMAN 14 GRASSETTO)</w:t>
      </w:r>
    </w:p>
    <w:p w:rsidR="00826461" w:rsidRPr="00290B47" w:rsidRDefault="00826461" w:rsidP="00826461">
      <w:pPr>
        <w:pStyle w:val="Corpodeltesto21"/>
        <w:jc w:val="center"/>
        <w:rPr>
          <w:lang w:val="en-US"/>
        </w:rPr>
      </w:pPr>
      <w:r>
        <w:rPr>
          <w:b w:val="0"/>
          <w:bCs w:val="0"/>
          <w:i/>
          <w:iCs/>
          <w:sz w:val="28"/>
          <w:szCs w:val="28"/>
          <w:lang w:val="en-GB"/>
        </w:rPr>
        <w:t>TITLE IN INGLESE (TIMES NEW ROMAN 14 CORSIVO)</w:t>
      </w:r>
    </w:p>
    <w:p w:rsidR="00826461" w:rsidRPr="00290B47" w:rsidRDefault="00826461" w:rsidP="00826461">
      <w:pPr>
        <w:jc w:val="center"/>
        <w:rPr>
          <w:lang w:val="en-US"/>
        </w:rPr>
      </w:pPr>
      <w:r>
        <w:rPr>
          <w:sz w:val="20"/>
          <w:lang w:val="en-GB"/>
        </w:rPr>
        <w:t xml:space="preserve">Nome </w:t>
      </w:r>
      <w:proofErr w:type="spellStart"/>
      <w:r>
        <w:rPr>
          <w:sz w:val="20"/>
          <w:lang w:val="en-GB"/>
        </w:rPr>
        <w:t>Cognome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Autore</w:t>
      </w:r>
      <w:proofErr w:type="spellEnd"/>
      <w:r>
        <w:rPr>
          <w:sz w:val="20"/>
          <w:lang w:val="en-GB"/>
        </w:rPr>
        <w:t xml:space="preserve"> 1 (Times New Roman 10)</w:t>
      </w:r>
      <w:r>
        <w:rPr>
          <w:sz w:val="20"/>
          <w:vertAlign w:val="superscript"/>
          <w:lang w:val="en-GB"/>
        </w:rPr>
        <w:t>1*</w:t>
      </w:r>
      <w:r>
        <w:rPr>
          <w:sz w:val="20"/>
          <w:lang w:val="en-GB"/>
        </w:rPr>
        <w:t xml:space="preserve">, Nome </w:t>
      </w:r>
      <w:proofErr w:type="spellStart"/>
      <w:r>
        <w:rPr>
          <w:sz w:val="20"/>
          <w:lang w:val="en-GB"/>
        </w:rPr>
        <w:t>Cognome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Autore</w:t>
      </w:r>
      <w:proofErr w:type="spellEnd"/>
      <w:r>
        <w:rPr>
          <w:sz w:val="20"/>
          <w:lang w:val="en-GB"/>
        </w:rPr>
        <w:t xml:space="preserve"> 2 (Times New Roman 10)</w:t>
      </w:r>
      <w:r>
        <w:rPr>
          <w:sz w:val="20"/>
          <w:vertAlign w:val="superscript"/>
          <w:lang w:val="en-GB"/>
        </w:rPr>
        <w:t>2</w:t>
      </w:r>
      <w:r>
        <w:rPr>
          <w:sz w:val="20"/>
          <w:lang w:val="en-GB"/>
        </w:rPr>
        <w:t xml:space="preserve">, Nome </w:t>
      </w:r>
      <w:proofErr w:type="spellStart"/>
      <w:r>
        <w:rPr>
          <w:sz w:val="20"/>
          <w:lang w:val="en-GB"/>
        </w:rPr>
        <w:t>Cognome</w:t>
      </w:r>
      <w:proofErr w:type="spellEnd"/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Autore</w:t>
      </w:r>
      <w:proofErr w:type="spellEnd"/>
      <w:r>
        <w:rPr>
          <w:sz w:val="20"/>
          <w:lang w:val="en-GB"/>
        </w:rPr>
        <w:t xml:space="preserve"> 3 (Times New Roman 10)</w:t>
      </w:r>
      <w:r>
        <w:rPr>
          <w:sz w:val="20"/>
          <w:vertAlign w:val="superscript"/>
          <w:lang w:val="en-GB"/>
        </w:rPr>
        <w:t>3</w:t>
      </w:r>
      <w:r>
        <w:rPr>
          <w:sz w:val="20"/>
          <w:lang w:val="en-GB"/>
        </w:rPr>
        <w:t>…</w:t>
      </w:r>
    </w:p>
    <w:p w:rsidR="00826461" w:rsidRDefault="00826461" w:rsidP="00826461">
      <w:pPr>
        <w:jc w:val="both"/>
        <w:rPr>
          <w:sz w:val="20"/>
          <w:szCs w:val="20"/>
          <w:lang w:val="en-GB"/>
        </w:rPr>
      </w:pP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16"/>
          <w:szCs w:val="20"/>
          <w:vertAlign w:val="superscript"/>
          <w:lang w:val="en-GB"/>
        </w:rPr>
        <w:t>1</w:t>
      </w:r>
      <w:r>
        <w:rPr>
          <w:sz w:val="16"/>
          <w:szCs w:val="20"/>
          <w:lang w:val="en-GB"/>
        </w:rPr>
        <w:t xml:space="preserve"> </w:t>
      </w:r>
      <w:proofErr w:type="spellStart"/>
      <w:r>
        <w:rPr>
          <w:sz w:val="16"/>
          <w:szCs w:val="20"/>
          <w:lang w:val="en-GB"/>
        </w:rPr>
        <w:t>Ente</w:t>
      </w:r>
      <w:proofErr w:type="spellEnd"/>
      <w:r>
        <w:rPr>
          <w:sz w:val="16"/>
          <w:szCs w:val="20"/>
          <w:lang w:val="en-GB"/>
        </w:rPr>
        <w:t xml:space="preserve"> 1 (Times New Roman 8)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16"/>
          <w:szCs w:val="20"/>
          <w:vertAlign w:val="superscript"/>
          <w:lang w:val="en-GB"/>
        </w:rPr>
        <w:t>2</w:t>
      </w:r>
      <w:r>
        <w:rPr>
          <w:sz w:val="16"/>
          <w:szCs w:val="20"/>
          <w:lang w:val="en-GB"/>
        </w:rPr>
        <w:t xml:space="preserve"> </w:t>
      </w:r>
      <w:proofErr w:type="spellStart"/>
      <w:r>
        <w:rPr>
          <w:sz w:val="16"/>
          <w:szCs w:val="20"/>
          <w:lang w:val="en-GB"/>
        </w:rPr>
        <w:t>Ente</w:t>
      </w:r>
      <w:proofErr w:type="spellEnd"/>
      <w:r>
        <w:rPr>
          <w:sz w:val="16"/>
          <w:szCs w:val="20"/>
          <w:lang w:val="en-GB"/>
        </w:rPr>
        <w:t xml:space="preserve"> 2 (Times New Roman 8)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16"/>
          <w:szCs w:val="20"/>
          <w:vertAlign w:val="superscript"/>
          <w:lang w:val="en-GB"/>
        </w:rPr>
        <w:t>3</w:t>
      </w:r>
      <w:r>
        <w:rPr>
          <w:sz w:val="16"/>
          <w:szCs w:val="20"/>
          <w:lang w:val="en-GB"/>
        </w:rPr>
        <w:t xml:space="preserve"> </w:t>
      </w:r>
      <w:proofErr w:type="spellStart"/>
      <w:r>
        <w:rPr>
          <w:sz w:val="16"/>
          <w:szCs w:val="20"/>
          <w:lang w:val="en-GB"/>
        </w:rPr>
        <w:t>Ente</w:t>
      </w:r>
      <w:proofErr w:type="spellEnd"/>
      <w:r>
        <w:rPr>
          <w:sz w:val="16"/>
          <w:szCs w:val="20"/>
          <w:lang w:val="en-GB"/>
        </w:rPr>
        <w:t xml:space="preserve"> 3 (Times New Roman 8)</w:t>
      </w:r>
    </w:p>
    <w:p w:rsidR="00826461" w:rsidRDefault="00826461" w:rsidP="00826461">
      <w:pPr>
        <w:jc w:val="both"/>
      </w:pPr>
      <w:r>
        <w:rPr>
          <w:sz w:val="16"/>
          <w:szCs w:val="20"/>
          <w:vertAlign w:val="superscript"/>
        </w:rPr>
        <w:t>*</w:t>
      </w:r>
      <w:r>
        <w:rPr>
          <w:sz w:val="16"/>
          <w:szCs w:val="20"/>
        </w:rPr>
        <w:t xml:space="preserve"> indirizzo mail dell’autore di riferimento (Times New Roman 8)</w:t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Default="00826461" w:rsidP="00826461">
      <w:pPr>
        <w:pStyle w:val="Heading2"/>
      </w:pPr>
      <w:r>
        <w:t xml:space="preserve">Abstract (Times New Roman 10 </w:t>
      </w:r>
      <w:proofErr w:type="spellStart"/>
      <w:r>
        <w:t>Grassetto</w:t>
      </w:r>
      <w:proofErr w:type="spellEnd"/>
      <w:r>
        <w:t xml:space="preserve">) in </w:t>
      </w:r>
      <w:proofErr w:type="spellStart"/>
      <w:r>
        <w:t>inglese</w:t>
      </w:r>
      <w:proofErr w:type="spellEnd"/>
    </w:p>
    <w:p w:rsidR="00826461" w:rsidRDefault="00826461" w:rsidP="00826461">
      <w:pPr>
        <w:jc w:val="both"/>
      </w:pPr>
      <w:r>
        <w:rPr>
          <w:sz w:val="20"/>
          <w:szCs w:val="20"/>
        </w:rPr>
        <w:t>Times New Roman 10. Non più di 1000 caratteri circa (spazi inclusi)</w:t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Default="00826461" w:rsidP="00826461">
      <w:r>
        <w:rPr>
          <w:b/>
          <w:sz w:val="20"/>
        </w:rPr>
        <w:t xml:space="preserve">Parole chiave italiano </w:t>
      </w:r>
      <w:r>
        <w:rPr>
          <w:b/>
          <w:bCs/>
          <w:sz w:val="20"/>
        </w:rPr>
        <w:t>(Times New Roman 10 Grassetto)</w:t>
      </w:r>
    </w:p>
    <w:p w:rsidR="00826461" w:rsidRPr="00290B47" w:rsidRDefault="00826461" w:rsidP="00826461">
      <w:pPr>
        <w:autoSpaceDE w:val="0"/>
        <w:jc w:val="both"/>
        <w:rPr>
          <w:lang w:val="en-US"/>
        </w:rPr>
      </w:pPr>
      <w:r>
        <w:rPr>
          <w:sz w:val="20"/>
          <w:szCs w:val="20"/>
          <w:lang w:val="en-GB"/>
        </w:rPr>
        <w:t xml:space="preserve">Times New Roman 10 - </w:t>
      </w:r>
      <w:r>
        <w:rPr>
          <w:smallCaps/>
          <w:sz w:val="20"/>
          <w:szCs w:val="20"/>
          <w:lang w:val="en-GB"/>
        </w:rPr>
        <w:t xml:space="preserve">Massimo 5 </w:t>
      </w:r>
      <w:proofErr w:type="spellStart"/>
      <w:r>
        <w:rPr>
          <w:smallCaps/>
          <w:sz w:val="20"/>
          <w:szCs w:val="20"/>
          <w:lang w:val="en-GB"/>
        </w:rPr>
        <w:t>voci</w:t>
      </w:r>
      <w:proofErr w:type="spellEnd"/>
    </w:p>
    <w:p w:rsidR="00826461" w:rsidRPr="00290B47" w:rsidRDefault="00826461" w:rsidP="00826461">
      <w:pPr>
        <w:rPr>
          <w:lang w:val="en-US"/>
        </w:rPr>
      </w:pPr>
      <w:r>
        <w:rPr>
          <w:b/>
          <w:sz w:val="20"/>
          <w:lang w:val="en-GB"/>
        </w:rPr>
        <w:t xml:space="preserve">Keywords </w:t>
      </w:r>
      <w:proofErr w:type="spellStart"/>
      <w:r>
        <w:rPr>
          <w:b/>
          <w:sz w:val="20"/>
          <w:lang w:val="en-GB"/>
        </w:rPr>
        <w:t>english</w:t>
      </w:r>
      <w:proofErr w:type="spellEnd"/>
      <w:r>
        <w:rPr>
          <w:b/>
          <w:sz w:val="20"/>
          <w:lang w:val="en-GB"/>
        </w:rPr>
        <w:t xml:space="preserve"> </w:t>
      </w:r>
      <w:r>
        <w:rPr>
          <w:b/>
          <w:bCs/>
          <w:sz w:val="20"/>
          <w:lang w:val="en-GB"/>
        </w:rPr>
        <w:t xml:space="preserve">(Times New Roman 10 </w:t>
      </w:r>
      <w:proofErr w:type="spellStart"/>
      <w:r>
        <w:rPr>
          <w:b/>
          <w:bCs/>
          <w:sz w:val="20"/>
          <w:lang w:val="en-GB"/>
        </w:rPr>
        <w:t>Grassetto</w:t>
      </w:r>
      <w:proofErr w:type="spellEnd"/>
      <w:r>
        <w:rPr>
          <w:b/>
          <w:bCs/>
          <w:sz w:val="20"/>
          <w:lang w:val="en-GB"/>
        </w:rPr>
        <w:t>)</w:t>
      </w:r>
    </w:p>
    <w:p w:rsidR="00826461" w:rsidRPr="00290B47" w:rsidRDefault="00826461" w:rsidP="00826461">
      <w:pPr>
        <w:jc w:val="both"/>
        <w:rPr>
          <w:lang w:val="en-US"/>
        </w:rPr>
      </w:pPr>
      <w:r w:rsidRPr="00290B47">
        <w:rPr>
          <w:sz w:val="20"/>
          <w:szCs w:val="20"/>
          <w:lang w:val="en-US"/>
        </w:rPr>
        <w:t xml:space="preserve">Times New Roman 10 - </w:t>
      </w:r>
      <w:r w:rsidRPr="00290B47">
        <w:rPr>
          <w:smallCaps/>
          <w:sz w:val="20"/>
          <w:szCs w:val="20"/>
          <w:lang w:val="en-US"/>
        </w:rPr>
        <w:t xml:space="preserve">Massimo 5 </w:t>
      </w:r>
      <w:proofErr w:type="spellStart"/>
      <w:r>
        <w:rPr>
          <w:smallCaps/>
          <w:sz w:val="20"/>
          <w:szCs w:val="20"/>
          <w:lang w:val="en-GB"/>
        </w:rPr>
        <w:t>voci</w:t>
      </w:r>
      <w:proofErr w:type="spellEnd"/>
    </w:p>
    <w:p w:rsidR="00826461" w:rsidRDefault="00826461" w:rsidP="00826461">
      <w:pPr>
        <w:jc w:val="both"/>
        <w:rPr>
          <w:b/>
          <w:bCs/>
          <w:sz w:val="20"/>
          <w:szCs w:val="20"/>
          <w:lang w:val="en-GB"/>
        </w:rPr>
      </w:pPr>
    </w:p>
    <w:p w:rsidR="00826461" w:rsidRPr="00290B47" w:rsidRDefault="00826461" w:rsidP="00826461">
      <w:pPr>
        <w:jc w:val="both"/>
        <w:rPr>
          <w:lang w:val="en-US"/>
        </w:rPr>
      </w:pPr>
      <w:proofErr w:type="spellStart"/>
      <w:r w:rsidRPr="00290B47">
        <w:rPr>
          <w:b/>
          <w:sz w:val="20"/>
          <w:lang w:val="en-US"/>
        </w:rPr>
        <w:t>Introduzione</w:t>
      </w:r>
      <w:proofErr w:type="spellEnd"/>
      <w:r w:rsidRPr="00290B47">
        <w:rPr>
          <w:b/>
          <w:sz w:val="20"/>
          <w:lang w:val="en-US"/>
        </w:rPr>
        <w:t xml:space="preserve"> (Times New Roman 10 </w:t>
      </w:r>
      <w:proofErr w:type="spellStart"/>
      <w:r w:rsidRPr="00290B47">
        <w:rPr>
          <w:b/>
          <w:sz w:val="20"/>
          <w:lang w:val="en-US"/>
        </w:rPr>
        <w:t>Grassetto</w:t>
      </w:r>
      <w:proofErr w:type="spellEnd"/>
      <w:r>
        <w:rPr>
          <w:b/>
          <w:sz w:val="20"/>
          <w:lang w:val="en-GB"/>
        </w:rPr>
        <w:t>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20"/>
          <w:szCs w:val="20"/>
          <w:lang w:val="en-GB"/>
        </w:rPr>
        <w:t>Times New Roman 10</w:t>
      </w:r>
    </w:p>
    <w:p w:rsidR="00826461" w:rsidRDefault="00826461" w:rsidP="00826461">
      <w:pPr>
        <w:jc w:val="both"/>
        <w:rPr>
          <w:color w:val="000000"/>
          <w:sz w:val="20"/>
          <w:szCs w:val="20"/>
          <w:lang w:val="en-GB"/>
        </w:rPr>
      </w:pPr>
    </w:p>
    <w:p w:rsidR="00826461" w:rsidRDefault="00826461" w:rsidP="00826461">
      <w:pPr>
        <w:jc w:val="both"/>
      </w:pPr>
      <w:r>
        <w:rPr>
          <w:b/>
          <w:color w:val="000000"/>
          <w:sz w:val="20"/>
        </w:rPr>
        <w:t xml:space="preserve">Materiali e Metodi </w:t>
      </w:r>
      <w:r>
        <w:rPr>
          <w:b/>
          <w:sz w:val="20"/>
        </w:rPr>
        <w:t>(Times New Roman 10 Grassetto)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20"/>
          <w:szCs w:val="20"/>
          <w:lang w:val="en-GB"/>
        </w:rPr>
        <w:t>Times New Roman 10</w:t>
      </w:r>
    </w:p>
    <w:p w:rsidR="00826461" w:rsidRDefault="00826461" w:rsidP="00826461">
      <w:pPr>
        <w:autoSpaceDE w:val="0"/>
        <w:jc w:val="both"/>
        <w:rPr>
          <w:rFonts w:ascii="TimesNewRoman" w:hAnsi="TimesNewRoman" w:cs="TimesNewRoman"/>
          <w:color w:val="000000"/>
          <w:sz w:val="20"/>
          <w:szCs w:val="20"/>
          <w:lang w:val="en-GB"/>
        </w:rPr>
      </w:pPr>
    </w:p>
    <w:p w:rsidR="00826461" w:rsidRPr="00290B47" w:rsidRDefault="00826461" w:rsidP="00826461">
      <w:pPr>
        <w:jc w:val="both"/>
        <w:rPr>
          <w:lang w:val="en-US"/>
        </w:rPr>
      </w:pPr>
      <w:proofErr w:type="spellStart"/>
      <w:r w:rsidRPr="00290B47">
        <w:rPr>
          <w:b/>
          <w:bCs/>
          <w:sz w:val="20"/>
          <w:lang w:val="en-US"/>
        </w:rPr>
        <w:t>Risultati</w:t>
      </w:r>
      <w:proofErr w:type="spellEnd"/>
      <w:r w:rsidRPr="00290B47">
        <w:rPr>
          <w:b/>
          <w:bCs/>
          <w:sz w:val="20"/>
          <w:lang w:val="en-US"/>
        </w:rPr>
        <w:t xml:space="preserve"> e </w:t>
      </w:r>
      <w:proofErr w:type="spellStart"/>
      <w:r w:rsidRPr="00290B47">
        <w:rPr>
          <w:b/>
          <w:bCs/>
          <w:sz w:val="20"/>
          <w:lang w:val="en-US"/>
        </w:rPr>
        <w:t>Discussione</w:t>
      </w:r>
      <w:proofErr w:type="spellEnd"/>
      <w:r w:rsidRPr="00290B47">
        <w:rPr>
          <w:b/>
          <w:bCs/>
          <w:sz w:val="20"/>
          <w:lang w:val="en-US"/>
        </w:rPr>
        <w:t xml:space="preserve"> (Times New Roman 10 </w:t>
      </w:r>
      <w:proofErr w:type="spellStart"/>
      <w:r w:rsidRPr="00290B47">
        <w:rPr>
          <w:b/>
          <w:bCs/>
          <w:sz w:val="20"/>
          <w:lang w:val="en-US"/>
        </w:rPr>
        <w:t>Grassetto</w:t>
      </w:r>
      <w:proofErr w:type="spellEnd"/>
      <w:r w:rsidRPr="00290B47">
        <w:rPr>
          <w:b/>
          <w:bCs/>
          <w:sz w:val="20"/>
          <w:lang w:val="en-US"/>
        </w:rPr>
        <w:t>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20"/>
          <w:lang w:val="en-GB"/>
        </w:rPr>
        <w:t>Times New Roman 10</w:t>
      </w:r>
    </w:p>
    <w:p w:rsidR="00826461" w:rsidRDefault="00826461" w:rsidP="00826461">
      <w:pPr>
        <w:jc w:val="both"/>
        <w:rPr>
          <w:sz w:val="20"/>
          <w:lang w:val="en-GB"/>
        </w:rPr>
      </w:pPr>
    </w:p>
    <w:p w:rsidR="00826461" w:rsidRDefault="00826461" w:rsidP="00826461">
      <w:pPr>
        <w:jc w:val="both"/>
      </w:pPr>
      <w:r>
        <w:rPr>
          <w:i/>
          <w:color w:val="000000"/>
          <w:sz w:val="20"/>
          <w:szCs w:val="20"/>
        </w:rPr>
        <w:t>Tab.numero – Didascalia Times New Roman 10 Corsivo in italiano e inglese (come in esempio)</w:t>
      </w:r>
    </w:p>
    <w:p w:rsidR="00826461" w:rsidRDefault="00826461" w:rsidP="00826461">
      <w:pPr>
        <w:jc w:val="both"/>
      </w:pPr>
      <w:r>
        <w:rPr>
          <w:color w:val="000000"/>
          <w:sz w:val="20"/>
          <w:szCs w:val="20"/>
        </w:rPr>
        <w:t>Tabella - larghezza massima consigliata: 8,5 cm</w:t>
      </w:r>
    </w:p>
    <w:p w:rsidR="00826461" w:rsidRDefault="00826461" w:rsidP="00826461">
      <w:pPr>
        <w:jc w:val="both"/>
        <w:rPr>
          <w:color w:val="000000"/>
          <w:sz w:val="20"/>
          <w:szCs w:val="20"/>
        </w:rPr>
      </w:pPr>
    </w:p>
    <w:p w:rsidR="00826461" w:rsidRDefault="00826461" w:rsidP="00826461">
      <w:pPr>
        <w:jc w:val="both"/>
      </w:pPr>
      <w:r>
        <w:rPr>
          <w:i/>
          <w:color w:val="000000"/>
          <w:sz w:val="20"/>
          <w:szCs w:val="20"/>
        </w:rPr>
        <w:t>Fig.numero – Didascalia Times New Roman 10 Corsivo.</w:t>
      </w:r>
      <w:r>
        <w:rPr>
          <w:b/>
        </w:rPr>
        <w:t xml:space="preserve"> </w:t>
      </w:r>
      <w:r>
        <w:rPr>
          <w:i/>
          <w:color w:val="000000"/>
          <w:sz w:val="20"/>
          <w:szCs w:val="20"/>
        </w:rPr>
        <w:t>in italiano e inglese (come in esempio)</w:t>
      </w:r>
    </w:p>
    <w:p w:rsidR="00826461" w:rsidRDefault="00826461" w:rsidP="00826461">
      <w:pPr>
        <w:jc w:val="both"/>
      </w:pPr>
      <w:r>
        <w:rPr>
          <w:sz w:val="20"/>
        </w:rPr>
        <w:t>Figura/grafico/foto/immagine - larghezza massima consigliata: 8,5 cm</w:t>
      </w:r>
    </w:p>
    <w:p w:rsidR="00826461" w:rsidRDefault="00826461" w:rsidP="00826461">
      <w:pPr>
        <w:jc w:val="both"/>
        <w:rPr>
          <w:color w:val="000000"/>
          <w:sz w:val="20"/>
          <w:szCs w:val="20"/>
        </w:rPr>
      </w:pPr>
    </w:p>
    <w:p w:rsidR="00826461" w:rsidRPr="00290B47" w:rsidRDefault="00826461" w:rsidP="00826461">
      <w:pPr>
        <w:jc w:val="both"/>
        <w:rPr>
          <w:lang w:val="en-US"/>
        </w:rPr>
      </w:pPr>
      <w:proofErr w:type="spellStart"/>
      <w:r>
        <w:rPr>
          <w:rFonts w:ascii="TimesNewRoman" w:hAnsi="TimesNewRoman" w:cs="TimesNewRoman"/>
          <w:b/>
          <w:sz w:val="20"/>
          <w:lang w:val="en-GB"/>
        </w:rPr>
        <w:t>Conclusioni</w:t>
      </w:r>
      <w:proofErr w:type="spellEnd"/>
      <w:r>
        <w:rPr>
          <w:rFonts w:ascii="TimesNewRoman" w:hAnsi="TimesNewRoman" w:cs="TimesNewRoman"/>
          <w:b/>
          <w:sz w:val="20"/>
          <w:lang w:val="en-GB"/>
        </w:rPr>
        <w:t xml:space="preserve"> </w:t>
      </w:r>
      <w:r>
        <w:rPr>
          <w:b/>
          <w:sz w:val="20"/>
          <w:lang w:val="en-GB"/>
        </w:rPr>
        <w:t xml:space="preserve">(Times New Roman 10 </w:t>
      </w:r>
      <w:proofErr w:type="spellStart"/>
      <w:r>
        <w:rPr>
          <w:b/>
          <w:sz w:val="20"/>
          <w:lang w:val="en-GB"/>
        </w:rPr>
        <w:t>Grassetto</w:t>
      </w:r>
      <w:proofErr w:type="spellEnd"/>
      <w:r>
        <w:rPr>
          <w:b/>
          <w:sz w:val="20"/>
          <w:lang w:val="en-GB"/>
        </w:rPr>
        <w:t>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20"/>
          <w:lang w:val="en-GB"/>
        </w:rPr>
        <w:t>Times New Roman 10</w:t>
      </w:r>
    </w:p>
    <w:p w:rsidR="00826461" w:rsidRDefault="00826461" w:rsidP="00826461">
      <w:pPr>
        <w:jc w:val="both"/>
        <w:rPr>
          <w:sz w:val="20"/>
          <w:lang w:val="en-GB"/>
        </w:rPr>
      </w:pPr>
    </w:p>
    <w:p w:rsidR="00826461" w:rsidRPr="00290B47" w:rsidRDefault="00826461" w:rsidP="00826461">
      <w:pPr>
        <w:jc w:val="both"/>
        <w:rPr>
          <w:lang w:val="en-US"/>
        </w:rPr>
      </w:pPr>
      <w:proofErr w:type="spellStart"/>
      <w:r w:rsidRPr="00290B47">
        <w:rPr>
          <w:rFonts w:ascii="TimesNewRoman" w:hAnsi="TimesNewRoman" w:cs="TimesNewRoman"/>
          <w:b/>
          <w:sz w:val="20"/>
          <w:lang w:val="en-US"/>
        </w:rPr>
        <w:t>Bibliografia</w:t>
      </w:r>
      <w:proofErr w:type="spellEnd"/>
      <w:r w:rsidRPr="00290B47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Pr="00290B47">
        <w:rPr>
          <w:b/>
          <w:sz w:val="20"/>
          <w:lang w:val="en-US"/>
        </w:rPr>
        <w:t xml:space="preserve">(Times New Roman 10 </w:t>
      </w:r>
      <w:proofErr w:type="spellStart"/>
      <w:r w:rsidRPr="00290B47">
        <w:rPr>
          <w:b/>
          <w:sz w:val="20"/>
          <w:lang w:val="en-US"/>
        </w:rPr>
        <w:t>Grassetto</w:t>
      </w:r>
      <w:proofErr w:type="spellEnd"/>
      <w:r w:rsidRPr="00290B47">
        <w:rPr>
          <w:b/>
          <w:sz w:val="20"/>
          <w:lang w:val="en-US"/>
        </w:rPr>
        <w:t>)</w:t>
      </w:r>
    </w:p>
    <w:p w:rsidR="00826461" w:rsidRPr="00290B47" w:rsidRDefault="00826461" w:rsidP="00826461">
      <w:pPr>
        <w:jc w:val="both"/>
        <w:rPr>
          <w:lang w:val="en-US"/>
        </w:rPr>
      </w:pPr>
      <w:r>
        <w:rPr>
          <w:sz w:val="20"/>
          <w:szCs w:val="20"/>
          <w:lang w:val="en-GB"/>
        </w:rPr>
        <w:t>Times New Roman 10</w:t>
      </w:r>
    </w:p>
    <w:p w:rsidR="00826461" w:rsidRDefault="00826461" w:rsidP="00826461">
      <w:pPr>
        <w:pStyle w:val="BodyTextIndent"/>
        <w:jc w:val="both"/>
      </w:pPr>
      <w:r>
        <w:t>Cognome1 N., Cognome2 N., Cognome3 N., …, Anno. Titolo. Nome della Rivista, numero (sottonumero): pag.-pag.</w:t>
      </w:r>
    </w:p>
    <w:p w:rsidR="00826461" w:rsidRDefault="00826461" w:rsidP="00826461">
      <w:pPr>
        <w:pStyle w:val="BodyText"/>
        <w:ind w:left="180" w:hanging="180"/>
      </w:pPr>
      <w:r>
        <w:t>Cognome1 N., Cognome2 N., Cognome3 N., …, Anno. Titolo del libro. Editore, Luogo, numero di pagine pp.</w:t>
      </w:r>
    </w:p>
    <w:p w:rsidR="00826461" w:rsidRDefault="00826461" w:rsidP="00826461">
      <w:pPr>
        <w:rPr>
          <w:sz w:val="20"/>
          <w:szCs w:val="20"/>
          <w:u w:val="single"/>
        </w:rPr>
      </w:pPr>
    </w:p>
    <w:p w:rsidR="00826461" w:rsidRDefault="00826461" w:rsidP="00826461">
      <w:pPr>
        <w:pStyle w:val="Corpodeltesto31"/>
        <w:jc w:val="both"/>
      </w:pPr>
      <w:r>
        <w:t xml:space="preserve">N.B. La dimensione massima del documento deve essere di </w:t>
      </w:r>
      <w:r>
        <w:rPr>
          <w:u w:val="single"/>
        </w:rPr>
        <w:t>5 pagine, tabelle, figure, grafici ed immagini incluse (che devono comunque essere spedite anche separatamente).</w:t>
      </w:r>
      <w:r>
        <w:t xml:space="preserve"> Impostare su tutto il documento l’interlinea singola e seguire strettamente la formattazione del documento come nell’ESEMPIO RIPORTATO:</w:t>
      </w:r>
    </w:p>
    <w:p w:rsidR="00826461" w:rsidRDefault="00826461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826461" w:rsidRPr="008B5219" w:rsidRDefault="00826461" w:rsidP="00826461">
      <w:pPr>
        <w:jc w:val="center"/>
        <w:rPr>
          <w:b/>
          <w:sz w:val="28"/>
          <w:szCs w:val="28"/>
        </w:rPr>
      </w:pPr>
      <w:r w:rsidRPr="008B5219">
        <w:rPr>
          <w:b/>
          <w:sz w:val="28"/>
          <w:szCs w:val="28"/>
        </w:rPr>
        <w:lastRenderedPageBreak/>
        <w:t>ADATTAMENTO DELLA DISTRIBUZIONE GAMMA ALLA PRECIPITAZIONE MENSILE E STAGIONALE NELLA REGIONE ABRUZZO</w:t>
      </w:r>
    </w:p>
    <w:p w:rsidR="00826461" w:rsidRPr="00863AD0" w:rsidRDefault="00826461" w:rsidP="00826461">
      <w:pPr>
        <w:jc w:val="center"/>
        <w:rPr>
          <w:i/>
          <w:sz w:val="28"/>
          <w:szCs w:val="28"/>
          <w:lang w:val="en-US"/>
        </w:rPr>
      </w:pPr>
      <w:r w:rsidRPr="00863AD0">
        <w:rPr>
          <w:i/>
          <w:sz w:val="28"/>
          <w:szCs w:val="28"/>
          <w:lang w:val="en-US"/>
        </w:rPr>
        <w:t>FITTING OF GAMMA DISTRIBUTION TO MONTHLY AND SEASONAL PRECIPITATION IN THE ABRUZZO REGION</w:t>
      </w:r>
    </w:p>
    <w:p w:rsidR="00826461" w:rsidRPr="00502DEF" w:rsidRDefault="00826461" w:rsidP="00826461">
      <w:pPr>
        <w:pStyle w:val="BodyText2"/>
        <w:jc w:val="center"/>
        <w:rPr>
          <w:sz w:val="20"/>
          <w:szCs w:val="20"/>
          <w:lang w:val="en-US"/>
        </w:rPr>
      </w:pPr>
    </w:p>
    <w:p w:rsidR="00826461" w:rsidRPr="00D84813" w:rsidRDefault="00826461" w:rsidP="00826461">
      <w:pPr>
        <w:jc w:val="center"/>
        <w:rPr>
          <w:sz w:val="20"/>
        </w:rPr>
      </w:pPr>
      <w:r>
        <w:rPr>
          <w:sz w:val="20"/>
        </w:rPr>
        <w:t>L. Vergni</w:t>
      </w:r>
      <w:r>
        <w:rPr>
          <w:sz w:val="20"/>
          <w:vertAlign w:val="superscript"/>
        </w:rPr>
        <w:t>1</w:t>
      </w:r>
      <w:r w:rsidRPr="008B5219">
        <w:rPr>
          <w:sz w:val="20"/>
        </w:rPr>
        <w:t>,</w:t>
      </w:r>
      <w:r>
        <w:rPr>
          <w:sz w:val="20"/>
        </w:rPr>
        <w:t xml:space="preserve"> </w:t>
      </w:r>
      <w:r w:rsidRPr="00D84813">
        <w:rPr>
          <w:sz w:val="20"/>
        </w:rPr>
        <w:t>A</w:t>
      </w:r>
      <w:r>
        <w:rPr>
          <w:sz w:val="20"/>
        </w:rPr>
        <w:t>.</w:t>
      </w:r>
      <w:r w:rsidRPr="00D84813">
        <w:rPr>
          <w:sz w:val="20"/>
        </w:rPr>
        <w:t xml:space="preserve"> </w:t>
      </w:r>
      <w:r>
        <w:rPr>
          <w:sz w:val="20"/>
        </w:rPr>
        <w:t>Chiaudani</w:t>
      </w:r>
      <w:r>
        <w:rPr>
          <w:sz w:val="20"/>
          <w:vertAlign w:val="superscript"/>
        </w:rPr>
        <w:t>2</w:t>
      </w:r>
      <w:r>
        <w:rPr>
          <w:sz w:val="20"/>
        </w:rPr>
        <w:t>, B. Di Lena</w:t>
      </w:r>
      <w:r>
        <w:rPr>
          <w:sz w:val="20"/>
          <w:vertAlign w:val="superscript"/>
        </w:rPr>
        <w:t>3</w:t>
      </w:r>
    </w:p>
    <w:p w:rsidR="00826461" w:rsidRDefault="00826461" w:rsidP="00826461">
      <w:pPr>
        <w:jc w:val="both"/>
        <w:rPr>
          <w:color w:val="000000"/>
          <w:sz w:val="16"/>
          <w:szCs w:val="16"/>
          <w:vertAlign w:val="superscript"/>
        </w:rPr>
      </w:pPr>
    </w:p>
    <w:p w:rsidR="00826461" w:rsidRPr="003A7E16" w:rsidRDefault="00826461" w:rsidP="00826461">
      <w:pPr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 w:rsidRPr="00806D8C">
        <w:rPr>
          <w:color w:val="000000"/>
          <w:sz w:val="16"/>
          <w:szCs w:val="16"/>
        </w:rPr>
        <w:t xml:space="preserve"> Università degli Studi di Perugia, </w:t>
      </w:r>
      <w:r w:rsidRPr="003A7E16">
        <w:rPr>
          <w:color w:val="000000"/>
          <w:sz w:val="16"/>
          <w:szCs w:val="16"/>
        </w:rPr>
        <w:t>Dipartimento di Scienze Agrarie Alimentari e Ambientali</w:t>
      </w:r>
      <w:r>
        <w:rPr>
          <w:color w:val="000000"/>
          <w:sz w:val="16"/>
          <w:szCs w:val="16"/>
        </w:rPr>
        <w:t xml:space="preserve"> (lorenzo.vergni</w:t>
      </w:r>
      <w:r>
        <w:rPr>
          <w:sz w:val="16"/>
          <w:szCs w:val="20"/>
        </w:rPr>
        <w:t>@unipg.it)</w:t>
      </w:r>
    </w:p>
    <w:p w:rsidR="00826461" w:rsidRDefault="00826461" w:rsidP="00826461">
      <w:pPr>
        <w:jc w:val="both"/>
        <w:rPr>
          <w:sz w:val="16"/>
          <w:szCs w:val="20"/>
          <w:vertAlign w:val="superscript"/>
        </w:rPr>
      </w:pPr>
      <w:r>
        <w:rPr>
          <w:sz w:val="16"/>
          <w:szCs w:val="20"/>
          <w:vertAlign w:val="superscript"/>
        </w:rPr>
        <w:t>3</w:t>
      </w:r>
      <w:r w:rsidRPr="00C35317">
        <w:rPr>
          <w:sz w:val="16"/>
          <w:szCs w:val="20"/>
        </w:rPr>
        <w:t xml:space="preserve"> </w:t>
      </w:r>
      <w:r w:rsidRPr="00DD031E">
        <w:rPr>
          <w:sz w:val="16"/>
          <w:szCs w:val="20"/>
        </w:rPr>
        <w:t>Dipartimento di Ingegneria e Geologia "InGeo"</w:t>
      </w:r>
      <w:r>
        <w:rPr>
          <w:sz w:val="16"/>
          <w:szCs w:val="20"/>
        </w:rPr>
        <w:t xml:space="preserve"> Università degli Studi "G. d</w:t>
      </w:r>
      <w:r w:rsidRPr="00DD031E">
        <w:rPr>
          <w:sz w:val="16"/>
          <w:szCs w:val="20"/>
        </w:rPr>
        <w:t>'Annunzio"</w:t>
      </w:r>
      <w:r>
        <w:rPr>
          <w:sz w:val="16"/>
          <w:szCs w:val="20"/>
        </w:rPr>
        <w:t>,</w:t>
      </w:r>
      <w:r w:rsidRPr="00DD031E">
        <w:rPr>
          <w:sz w:val="16"/>
          <w:szCs w:val="20"/>
        </w:rPr>
        <w:t xml:space="preserve"> Chieti-Pescara</w:t>
      </w:r>
    </w:p>
    <w:p w:rsidR="00826461" w:rsidRDefault="00826461" w:rsidP="00826461">
      <w:pPr>
        <w:jc w:val="both"/>
        <w:rPr>
          <w:sz w:val="16"/>
          <w:szCs w:val="20"/>
        </w:rPr>
      </w:pPr>
      <w:r>
        <w:rPr>
          <w:sz w:val="16"/>
          <w:szCs w:val="20"/>
          <w:vertAlign w:val="superscript"/>
        </w:rPr>
        <w:t>3</w:t>
      </w:r>
      <w:r w:rsidRPr="00C35317">
        <w:rPr>
          <w:sz w:val="16"/>
          <w:szCs w:val="20"/>
        </w:rPr>
        <w:t xml:space="preserve"> </w:t>
      </w:r>
      <w:r w:rsidRPr="00AA43FB">
        <w:rPr>
          <w:sz w:val="16"/>
          <w:szCs w:val="20"/>
        </w:rPr>
        <w:t>Regione Abruzzo - Direzione Agricoltura- Centro Agrometeorologico Regionale - Scerni (Ch)</w:t>
      </w:r>
    </w:p>
    <w:p w:rsidR="00826461" w:rsidRPr="002316B6" w:rsidRDefault="00826461" w:rsidP="00826461">
      <w:pPr>
        <w:rPr>
          <w:sz w:val="16"/>
          <w:szCs w:val="16"/>
        </w:rPr>
      </w:pPr>
    </w:p>
    <w:p w:rsidR="00826461" w:rsidRDefault="00826461" w:rsidP="00826461">
      <w:pPr>
        <w:jc w:val="both"/>
        <w:rPr>
          <w:b/>
          <w:bCs/>
          <w:sz w:val="20"/>
        </w:rPr>
      </w:pPr>
      <w:r w:rsidRPr="00957DE0">
        <w:rPr>
          <w:b/>
          <w:bCs/>
          <w:sz w:val="20"/>
        </w:rPr>
        <w:t>Abstract</w:t>
      </w:r>
    </w:p>
    <w:p w:rsidR="00826461" w:rsidRDefault="00826461" w:rsidP="00826461">
      <w:pPr>
        <w:jc w:val="both"/>
        <w:rPr>
          <w:sz w:val="20"/>
          <w:szCs w:val="20"/>
        </w:rPr>
      </w:pPr>
      <w:r w:rsidRPr="00A52586">
        <w:rPr>
          <w:sz w:val="20"/>
          <w:szCs w:val="20"/>
        </w:rPr>
        <w:t xml:space="preserve">Il lavoro </w:t>
      </w:r>
      <w:r>
        <w:rPr>
          <w:sz w:val="20"/>
          <w:szCs w:val="20"/>
        </w:rPr>
        <w:t>verifica l’adattamento della distribuzione Gamma alle precipitazioni mensili e stagionali rilevate nella regione Abruzzo. Il riferimento a diversi periodi temporali e a numerose stazioni ha permesso di valutare l’eventuale presenza di una variabilità spaziale e temporale di tale adattamento. Per le situazioni con scarso adattamento sono state inoltre individuate distribuzioni alternative.</w:t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Default="00826461" w:rsidP="00826461">
      <w:pPr>
        <w:jc w:val="both"/>
        <w:rPr>
          <w:sz w:val="20"/>
          <w:szCs w:val="20"/>
        </w:rPr>
      </w:pPr>
      <w:r w:rsidRPr="00EC1516">
        <w:rPr>
          <w:b/>
          <w:sz w:val="20"/>
          <w:szCs w:val="20"/>
        </w:rPr>
        <w:t>Parole chiave</w:t>
      </w:r>
      <w:r>
        <w:rPr>
          <w:b/>
          <w:sz w:val="20"/>
          <w:szCs w:val="20"/>
        </w:rPr>
        <w:t xml:space="preserve">: </w:t>
      </w:r>
      <w:r w:rsidRPr="00EC1516">
        <w:rPr>
          <w:sz w:val="20"/>
          <w:szCs w:val="20"/>
        </w:rPr>
        <w:t>distribuzione gamma</w:t>
      </w:r>
      <w:r>
        <w:rPr>
          <w:sz w:val="20"/>
          <w:szCs w:val="20"/>
        </w:rPr>
        <w:t>, precipitazioni mensili, regione Abruzzo</w:t>
      </w:r>
    </w:p>
    <w:p w:rsidR="00826461" w:rsidRPr="00C84BEE" w:rsidRDefault="00826461" w:rsidP="00826461">
      <w:pPr>
        <w:jc w:val="both"/>
        <w:rPr>
          <w:b/>
          <w:sz w:val="20"/>
          <w:szCs w:val="20"/>
          <w:lang w:val="en-US"/>
        </w:rPr>
      </w:pPr>
      <w:r w:rsidRPr="00C84BEE">
        <w:rPr>
          <w:b/>
          <w:sz w:val="20"/>
          <w:szCs w:val="20"/>
          <w:lang w:val="en-US"/>
        </w:rPr>
        <w:t>Keywords:</w:t>
      </w:r>
      <w:r w:rsidRPr="00C84BEE">
        <w:rPr>
          <w:sz w:val="20"/>
          <w:szCs w:val="20"/>
          <w:lang w:val="en-US"/>
        </w:rPr>
        <w:t xml:space="preserve"> gamma distribution, monthly rainfall, Abruzzo region</w:t>
      </w:r>
    </w:p>
    <w:p w:rsidR="00826461" w:rsidRPr="00C84BEE" w:rsidRDefault="00826461" w:rsidP="00826461">
      <w:pPr>
        <w:jc w:val="both"/>
        <w:rPr>
          <w:sz w:val="20"/>
          <w:szCs w:val="20"/>
          <w:lang w:val="en-US"/>
        </w:rPr>
        <w:sectPr w:rsidR="00826461" w:rsidRPr="00C84BEE" w:rsidSect="006C0A64">
          <w:footerReference w:type="even" r:id="rId5"/>
          <w:footerReference w:type="default" r:id="rId6"/>
          <w:pgSz w:w="11340" w:h="15026" w:code="9"/>
          <w:pgMar w:top="357" w:right="680" w:bottom="539" w:left="680" w:header="0" w:footer="0" w:gutter="0"/>
          <w:cols w:space="284"/>
          <w:docGrid w:linePitch="360"/>
        </w:sectPr>
      </w:pP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  <w:r w:rsidRPr="00C84BEE">
        <w:rPr>
          <w:lang w:val="en-US"/>
        </w:rPr>
        <w:tab/>
      </w:r>
    </w:p>
    <w:p w:rsidR="00826461" w:rsidRDefault="00826461" w:rsidP="00826461">
      <w:pPr>
        <w:rPr>
          <w:b/>
          <w:sz w:val="20"/>
        </w:rPr>
      </w:pPr>
      <w:r>
        <w:rPr>
          <w:b/>
          <w:sz w:val="20"/>
        </w:rPr>
        <w:lastRenderedPageBreak/>
        <w:t>Introduzione</w:t>
      </w:r>
    </w:p>
    <w:p w:rsidR="00826461" w:rsidRPr="003705F2" w:rsidRDefault="00826461" w:rsidP="00826461">
      <w:pPr>
        <w:rPr>
          <w:sz w:val="20"/>
          <w:szCs w:val="20"/>
        </w:rPr>
      </w:pPr>
      <w:r>
        <w:rPr>
          <w:sz w:val="20"/>
          <w:szCs w:val="20"/>
        </w:rPr>
        <w:t xml:space="preserve">L’individuazione della </w:t>
      </w:r>
      <w:r w:rsidRPr="003705F2">
        <w:rPr>
          <w:sz w:val="20"/>
          <w:szCs w:val="20"/>
        </w:rPr>
        <w:t>distribuzione di probabilità della precipitazione cumulata a scala mensile o</w:t>
      </w:r>
      <w:r>
        <w:rPr>
          <w:sz w:val="20"/>
          <w:szCs w:val="20"/>
        </w:rPr>
        <w:t xml:space="preserve"> </w:t>
      </w:r>
      <w:r w:rsidRPr="003705F2">
        <w:rPr>
          <w:sz w:val="20"/>
          <w:szCs w:val="20"/>
        </w:rPr>
        <w:t xml:space="preserve">plurimensile </w:t>
      </w:r>
      <w:r w:rsidRPr="00D9220E">
        <w:rPr>
          <w:b/>
          <w:sz w:val="20"/>
        </w:rPr>
        <w:t>costituisce</w:t>
      </w:r>
      <w:r w:rsidRPr="003705F2">
        <w:rPr>
          <w:sz w:val="20"/>
          <w:szCs w:val="20"/>
        </w:rPr>
        <w:t xml:space="preserve"> un’informazione preliminare</w:t>
      </w:r>
      <w:r>
        <w:rPr>
          <w:sz w:val="20"/>
          <w:szCs w:val="20"/>
        </w:rPr>
        <w:t xml:space="preserve"> </w:t>
      </w:r>
      <w:r w:rsidRPr="003705F2">
        <w:rPr>
          <w:sz w:val="20"/>
          <w:szCs w:val="20"/>
        </w:rPr>
        <w:t xml:space="preserve">di pratica utilità in molti studi climatici </w:t>
      </w:r>
      <w:r>
        <w:rPr>
          <w:sz w:val="20"/>
          <w:szCs w:val="20"/>
        </w:rPr>
        <w:t>e</w:t>
      </w:r>
      <w:r w:rsidRPr="003705F2">
        <w:rPr>
          <w:sz w:val="20"/>
          <w:szCs w:val="20"/>
        </w:rPr>
        <w:t xml:space="preserve"> idrologici (come ad esempio nel calcolo del noto Standardized</w:t>
      </w:r>
      <w:r>
        <w:rPr>
          <w:sz w:val="20"/>
          <w:szCs w:val="20"/>
        </w:rPr>
        <w:t xml:space="preserve"> </w:t>
      </w:r>
      <w:r w:rsidRPr="003705F2">
        <w:rPr>
          <w:sz w:val="20"/>
          <w:szCs w:val="20"/>
        </w:rPr>
        <w:t>Precipitation Index</w:t>
      </w:r>
      <w:r>
        <w:rPr>
          <w:sz w:val="20"/>
          <w:szCs w:val="20"/>
        </w:rPr>
        <w:t>, SPI</w:t>
      </w:r>
      <w:r w:rsidRPr="003705F2">
        <w:rPr>
          <w:sz w:val="20"/>
          <w:szCs w:val="20"/>
        </w:rPr>
        <w:t>).</w:t>
      </w:r>
    </w:p>
    <w:p w:rsidR="00826461" w:rsidRPr="00A1305B" w:rsidRDefault="00826461" w:rsidP="00826461">
      <w:pP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In tale ambito, l’utilizzo della </w:t>
      </w:r>
      <w:r w:rsidRPr="00A1305B">
        <w:rPr>
          <w:sz w:val="20"/>
          <w:szCs w:val="20"/>
        </w:rPr>
        <w:t xml:space="preserve">distribuzione </w:t>
      </w:r>
      <w:r>
        <w:rPr>
          <w:sz w:val="20"/>
          <w:szCs w:val="20"/>
        </w:rPr>
        <w:t>G</w:t>
      </w:r>
      <w:r w:rsidRPr="00A1305B">
        <w:rPr>
          <w:sz w:val="20"/>
          <w:szCs w:val="20"/>
        </w:rPr>
        <w:t>amma (opportunamente modificata per contemplare la presenza di valori nulli), gode di un ampio consens</w:t>
      </w:r>
      <w:r>
        <w:rPr>
          <w:sz w:val="20"/>
          <w:szCs w:val="20"/>
        </w:rPr>
        <w:t>o nella letteratura scientifica, anche se spesso viene trascurata l’applicazione di specifici e validi test di adattamento (</w:t>
      </w:r>
      <w:r w:rsidRPr="00384BA2">
        <w:rPr>
          <w:rFonts w:cs="Calibri"/>
          <w:sz w:val="20"/>
          <w:szCs w:val="20"/>
        </w:rPr>
        <w:t xml:space="preserve">Vlček </w:t>
      </w:r>
      <w:r>
        <w:rPr>
          <w:rFonts w:cs="Calibri"/>
          <w:sz w:val="20"/>
          <w:szCs w:val="20"/>
        </w:rPr>
        <w:t xml:space="preserve">e Huth, </w:t>
      </w:r>
      <w:r w:rsidRPr="00384BA2">
        <w:rPr>
          <w:rFonts w:cs="Calibri"/>
          <w:sz w:val="20"/>
          <w:szCs w:val="20"/>
        </w:rPr>
        <w:t>2009)</w:t>
      </w:r>
      <w:r>
        <w:rPr>
          <w:rFonts w:cs="Calibri"/>
          <w:sz w:val="20"/>
          <w:szCs w:val="20"/>
        </w:rPr>
        <w:t xml:space="preserve">. </w:t>
      </w:r>
      <w:r>
        <w:rPr>
          <w:sz w:val="20"/>
          <w:szCs w:val="20"/>
        </w:rPr>
        <w:t>Il presente lavoro affronta tale problematica con riferimento al caso studio della regione Abruzzo.</w:t>
      </w:r>
    </w:p>
    <w:p w:rsidR="00826461" w:rsidRDefault="00826461" w:rsidP="00826461">
      <w:pPr>
        <w:jc w:val="both"/>
        <w:rPr>
          <w:b/>
          <w:color w:val="000000"/>
          <w:sz w:val="20"/>
        </w:rPr>
      </w:pPr>
    </w:p>
    <w:p w:rsidR="00826461" w:rsidRDefault="00826461" w:rsidP="00826461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Materiali e Metodi </w:t>
      </w:r>
    </w:p>
    <w:p w:rsidR="00826461" w:rsidRDefault="00826461" w:rsidP="00826461">
      <w:pPr>
        <w:jc w:val="both"/>
        <w:rPr>
          <w:sz w:val="20"/>
          <w:szCs w:val="20"/>
        </w:rPr>
      </w:pPr>
      <w:r w:rsidRPr="00A1305B">
        <w:rPr>
          <w:color w:val="000000"/>
          <w:sz w:val="20"/>
          <w:szCs w:val="20"/>
        </w:rPr>
        <w:t>Lo studio è stato effettuato utilizzando i dati pluviometrici mensili rilevati, nell’arco temporale 1951-2009, dal Servizio Idrografico Regionale, in 75 località uniformemente distribuite nella regione Abruzzo</w:t>
      </w:r>
      <w:r w:rsidRPr="00A1305B">
        <w:rPr>
          <w:sz w:val="20"/>
          <w:szCs w:val="20"/>
        </w:rPr>
        <w:t xml:space="preserve"> (Fig.1).</w:t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Default="00826461" w:rsidP="00826461">
      <w:pPr>
        <w:jc w:val="center"/>
        <w:rPr>
          <w:sz w:val="20"/>
          <w:szCs w:val="20"/>
        </w:rPr>
      </w:pPr>
      <w:r w:rsidRPr="00FB2210">
        <w:rPr>
          <w:noProof/>
          <w:lang w:val="en-IE" w:eastAsia="en-IE"/>
        </w:rPr>
        <w:drawing>
          <wp:inline distT="0" distB="0" distL="0" distR="0">
            <wp:extent cx="3190875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1" w:rsidRPr="00141F0E" w:rsidRDefault="00826461" w:rsidP="00826461">
      <w:pPr>
        <w:jc w:val="both"/>
        <w:rPr>
          <w:i/>
          <w:sz w:val="20"/>
          <w:szCs w:val="20"/>
        </w:rPr>
      </w:pPr>
      <w:r w:rsidRPr="00141F0E">
        <w:rPr>
          <w:i/>
          <w:sz w:val="20"/>
          <w:szCs w:val="20"/>
        </w:rPr>
        <w:t>Fig. 1 Localizzazione delle stazioni</w:t>
      </w:r>
    </w:p>
    <w:p w:rsidR="00826461" w:rsidRPr="00826461" w:rsidRDefault="00826461" w:rsidP="00826461">
      <w:pPr>
        <w:jc w:val="both"/>
        <w:rPr>
          <w:i/>
          <w:sz w:val="20"/>
          <w:szCs w:val="20"/>
        </w:rPr>
      </w:pPr>
      <w:r w:rsidRPr="00826461">
        <w:rPr>
          <w:i/>
          <w:sz w:val="20"/>
          <w:szCs w:val="20"/>
        </w:rPr>
        <w:t>Fig. 1 Spatial distribution of meteorological stations</w:t>
      </w:r>
    </w:p>
    <w:p w:rsidR="00826461" w:rsidRPr="00826461" w:rsidRDefault="00826461" w:rsidP="00826461">
      <w:pPr>
        <w:pStyle w:val="BodyText21"/>
        <w:overflowPunct/>
        <w:autoSpaceDE/>
        <w:spacing w:line="240" w:lineRule="auto"/>
        <w:rPr>
          <w:i/>
          <w:sz w:val="20"/>
          <w:lang w:eastAsia="it-IT"/>
        </w:rPr>
      </w:pPr>
    </w:p>
    <w:p w:rsidR="00826461" w:rsidRPr="00A1305B" w:rsidRDefault="00826461" w:rsidP="00826461">
      <w:pPr>
        <w:pStyle w:val="BodyText21"/>
        <w:overflowPunct/>
        <w:autoSpaceDE/>
        <w:spacing w:line="240" w:lineRule="auto"/>
        <w:rPr>
          <w:sz w:val="20"/>
        </w:rPr>
      </w:pPr>
      <w:r w:rsidRPr="00A1305B">
        <w:rPr>
          <w:sz w:val="20"/>
        </w:rPr>
        <w:t>L’omogeneità delle serie</w:t>
      </w:r>
      <w:r>
        <w:rPr>
          <w:sz w:val="20"/>
        </w:rPr>
        <w:t xml:space="preserve"> mensili</w:t>
      </w:r>
      <w:r w:rsidRPr="00A1305B">
        <w:rPr>
          <w:sz w:val="20"/>
        </w:rPr>
        <w:t xml:space="preserve"> è stata valutata con la</w:t>
      </w:r>
      <w:r w:rsidRPr="00A1305B">
        <w:rPr>
          <w:color w:val="000000"/>
          <w:sz w:val="20"/>
        </w:rPr>
        <w:t xml:space="preserve">“double mass technique” (Kohler, 1949). </w:t>
      </w:r>
    </w:p>
    <w:p w:rsidR="00826461" w:rsidRPr="00B4625D" w:rsidRDefault="00826461" w:rsidP="00826461">
      <w:pPr>
        <w:pStyle w:val="BodyText22"/>
        <w:overflowPunct/>
        <w:autoSpaceDE/>
        <w:spacing w:line="240" w:lineRule="auto"/>
        <w:rPr>
          <w:sz w:val="20"/>
        </w:rPr>
      </w:pPr>
      <w:r>
        <w:rPr>
          <w:sz w:val="20"/>
        </w:rPr>
        <w:t>L’adattamento alla distribuzione Gamma è stato valutato</w:t>
      </w:r>
      <w:r w:rsidRPr="00A1305B">
        <w:rPr>
          <w:sz w:val="20"/>
        </w:rPr>
        <w:t xml:space="preserve"> </w:t>
      </w:r>
      <w:r>
        <w:rPr>
          <w:sz w:val="20"/>
        </w:rPr>
        <w:t>per i campioni di precipitazione di</w:t>
      </w:r>
      <w:r w:rsidRPr="00A1305B">
        <w:rPr>
          <w:sz w:val="20"/>
        </w:rPr>
        <w:t xml:space="preserve"> ciascun mese </w:t>
      </w:r>
      <w:r>
        <w:rPr>
          <w:sz w:val="20"/>
        </w:rPr>
        <w:t>e dei periodi gennaio-m</w:t>
      </w:r>
      <w:r w:rsidRPr="00A1305B">
        <w:rPr>
          <w:sz w:val="20"/>
        </w:rPr>
        <w:t>arzo, aprile-giugno, luglio</w:t>
      </w:r>
      <w:r>
        <w:rPr>
          <w:sz w:val="20"/>
        </w:rPr>
        <w:t>-settembre, ottobre-</w:t>
      </w:r>
      <w:r w:rsidRPr="00A1305B">
        <w:rPr>
          <w:sz w:val="20"/>
        </w:rPr>
        <w:t>dicembre</w:t>
      </w:r>
      <w:r>
        <w:rPr>
          <w:sz w:val="20"/>
        </w:rPr>
        <w:t>, sia con riferimento alla serie completa</w:t>
      </w:r>
      <w:r w:rsidRPr="00A1305B">
        <w:rPr>
          <w:sz w:val="20"/>
        </w:rPr>
        <w:t xml:space="preserve"> 1951-2009</w:t>
      </w:r>
      <w:r>
        <w:rPr>
          <w:sz w:val="20"/>
        </w:rPr>
        <w:t>,</w:t>
      </w:r>
      <w:r w:rsidRPr="00A1305B">
        <w:rPr>
          <w:sz w:val="20"/>
        </w:rPr>
        <w:t xml:space="preserve"> che </w:t>
      </w:r>
      <w:r>
        <w:rPr>
          <w:sz w:val="20"/>
        </w:rPr>
        <w:t>alle</w:t>
      </w:r>
      <w:r w:rsidRPr="00A1305B">
        <w:rPr>
          <w:sz w:val="20"/>
        </w:rPr>
        <w:t xml:space="preserve"> sottoserie 1951-1980 e 1981-2009.</w:t>
      </w:r>
      <w:r>
        <w:rPr>
          <w:sz w:val="20"/>
        </w:rPr>
        <w:t xml:space="preserve"> A tale scopo, sono stati in primo luogo stimati i parametri della distribuzione Gamma, utilizzando un metodo di massima verosimiglianza sulla base delle osservazioni di ciascun campione. L</w:t>
      </w:r>
      <w:r w:rsidRPr="00A1305B">
        <w:rPr>
          <w:sz w:val="20"/>
        </w:rPr>
        <w:t xml:space="preserve">’ipotesi nulla (H0) di appartenenza di ogni campione </w:t>
      </w:r>
      <w:r>
        <w:rPr>
          <w:sz w:val="20"/>
        </w:rPr>
        <w:t xml:space="preserve">alle distribuzioni così individuate, </w:t>
      </w:r>
      <w:r w:rsidRPr="00A1305B">
        <w:rPr>
          <w:sz w:val="20"/>
        </w:rPr>
        <w:t xml:space="preserve">è stata valutata con </w:t>
      </w:r>
      <w:r>
        <w:rPr>
          <w:sz w:val="20"/>
        </w:rPr>
        <w:t>il test di Kolmogorov-Smirnov (</w:t>
      </w:r>
      <w:r w:rsidRPr="00A1305B">
        <w:rPr>
          <w:sz w:val="20"/>
        </w:rPr>
        <w:t>test KS), i cui valori critici sono stati determinati mediante un metodo Montecarlo (Capasso et al., 2009) con 5000 ripetizioni.</w:t>
      </w:r>
    </w:p>
    <w:p w:rsidR="00826461" w:rsidRDefault="00826461" w:rsidP="00826461">
      <w:pPr>
        <w:pStyle w:val="BodyText22"/>
        <w:overflowPunct/>
        <w:autoSpaceDE/>
        <w:spacing w:line="240" w:lineRule="auto"/>
        <w:rPr>
          <w:b/>
          <w:sz w:val="20"/>
          <w:szCs w:val="24"/>
        </w:rPr>
      </w:pPr>
    </w:p>
    <w:p w:rsidR="00826461" w:rsidRPr="00C834F3" w:rsidRDefault="00826461" w:rsidP="00826461">
      <w:pPr>
        <w:pStyle w:val="BodyText22"/>
        <w:overflowPunct/>
        <w:autoSpaceDE/>
        <w:spacing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>Risultati</w:t>
      </w:r>
    </w:p>
    <w:p w:rsidR="00826461" w:rsidRDefault="00826461" w:rsidP="00826461">
      <w:pPr>
        <w:jc w:val="both"/>
        <w:rPr>
          <w:sz w:val="20"/>
          <w:szCs w:val="20"/>
        </w:rPr>
      </w:pPr>
      <w:r>
        <w:rPr>
          <w:sz w:val="20"/>
          <w:szCs w:val="20"/>
        </w:rPr>
        <w:t>La scelta di suddividere le serie storiche in due sottoserie (1951-1980 e 1981-2009) scaturisce dai risultati di un altro studio che aveva evidenziato il calo generalizzato delle precipitazioni annue a partire dal 1980 (</w:t>
      </w:r>
      <w:r w:rsidRPr="007A26D6">
        <w:rPr>
          <w:sz w:val="20"/>
          <w:szCs w:val="20"/>
        </w:rPr>
        <w:t>Di Lena et al., 2012)</w:t>
      </w:r>
      <w:r>
        <w:rPr>
          <w:sz w:val="20"/>
          <w:szCs w:val="20"/>
        </w:rPr>
        <w:t xml:space="preserve">. </w:t>
      </w:r>
      <w:r w:rsidRPr="007A26D6">
        <w:rPr>
          <w:sz w:val="20"/>
          <w:szCs w:val="20"/>
        </w:rPr>
        <w:t xml:space="preserve">In totale, tenendo conto che per ognuna delle 75 stazioni sono state analizzate le precipitazioni mensili (12), quelle </w:t>
      </w:r>
      <w:r>
        <w:rPr>
          <w:sz w:val="20"/>
          <w:szCs w:val="20"/>
        </w:rPr>
        <w:t xml:space="preserve">relative ai periodi </w:t>
      </w:r>
      <w:r>
        <w:rPr>
          <w:sz w:val="20"/>
        </w:rPr>
        <w:t>gennaio-m</w:t>
      </w:r>
      <w:r w:rsidRPr="00A1305B">
        <w:rPr>
          <w:sz w:val="20"/>
          <w:szCs w:val="20"/>
        </w:rPr>
        <w:t>arzo, aprile-giugno, luglio</w:t>
      </w:r>
      <w:r>
        <w:rPr>
          <w:sz w:val="20"/>
        </w:rPr>
        <w:t>-settembre, ottobre-</w:t>
      </w:r>
      <w:r w:rsidRPr="00A1305B">
        <w:rPr>
          <w:sz w:val="20"/>
          <w:szCs w:val="20"/>
        </w:rPr>
        <w:t xml:space="preserve">dicembre </w:t>
      </w:r>
      <w:r w:rsidRPr="007A26D6">
        <w:rPr>
          <w:sz w:val="20"/>
          <w:szCs w:val="20"/>
        </w:rPr>
        <w:t xml:space="preserve">(4), per 3 diverse serie storiche, sono stati esaminati 3600 campioni. </w:t>
      </w:r>
      <w:r>
        <w:rPr>
          <w:sz w:val="20"/>
          <w:szCs w:val="20"/>
        </w:rPr>
        <w:t xml:space="preserve">Nelle figure </w:t>
      </w:r>
      <w:r w:rsidRPr="007A26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e 3 è </w:t>
      </w:r>
      <w:r w:rsidRPr="007A26D6">
        <w:rPr>
          <w:sz w:val="20"/>
          <w:szCs w:val="20"/>
        </w:rPr>
        <w:t>ripo</w:t>
      </w:r>
      <w:r>
        <w:rPr>
          <w:sz w:val="20"/>
          <w:szCs w:val="20"/>
        </w:rPr>
        <w:t>rtata la percentuale di stazioni</w:t>
      </w:r>
      <w:r w:rsidRPr="007A26D6">
        <w:rPr>
          <w:sz w:val="20"/>
          <w:szCs w:val="20"/>
        </w:rPr>
        <w:t xml:space="preserve"> per le quali il p-value della statistica del test KS è risultato inferiore alla significatività (</w:t>
      </w:r>
      <w:r w:rsidRPr="007A26D6">
        <w:rPr>
          <w:rFonts w:cs="Calibri"/>
          <w:sz w:val="20"/>
          <w:szCs w:val="20"/>
        </w:rPr>
        <w:t>α</w:t>
      </w:r>
      <w:r w:rsidRPr="007A26D6">
        <w:rPr>
          <w:sz w:val="20"/>
          <w:szCs w:val="20"/>
        </w:rPr>
        <w:t xml:space="preserve">=0,01), e pertanto, l’ipotesi di adattamento alla distribuzione </w:t>
      </w:r>
      <w:r>
        <w:rPr>
          <w:sz w:val="20"/>
          <w:szCs w:val="20"/>
        </w:rPr>
        <w:t>G</w:t>
      </w:r>
      <w:r w:rsidRPr="007A26D6">
        <w:rPr>
          <w:sz w:val="20"/>
          <w:szCs w:val="20"/>
        </w:rPr>
        <w:t>amma non è accettabile.</w:t>
      </w:r>
    </w:p>
    <w:p w:rsidR="00826461" w:rsidRPr="00C81FC5" w:rsidRDefault="00826461" w:rsidP="00826461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C81FC5">
        <w:rPr>
          <w:rFonts w:cs="Calibri"/>
          <w:sz w:val="20"/>
          <w:szCs w:val="20"/>
        </w:rPr>
        <w:t>Per quanto riguarda le precipitazione mensili, l’adattamento peggiore si osserva per Ottobre indipendentemente dalla serie storica considerata. La percentuale di casi in cui l’ipotesi di adattamento alla Gamma non è accettabile è comunque sempre inferiore al 13%. Anche i mesi di Gennaio e Marzo si caratterizzano per la pres</w:t>
      </w:r>
      <w:r>
        <w:rPr>
          <w:rFonts w:cs="Calibri"/>
          <w:sz w:val="20"/>
          <w:szCs w:val="20"/>
        </w:rPr>
        <w:t xml:space="preserve">enza di qualche caso di rifiuto </w:t>
      </w:r>
      <w:r w:rsidRPr="00C81FC5">
        <w:rPr>
          <w:rFonts w:cs="Calibri"/>
          <w:sz w:val="20"/>
          <w:szCs w:val="20"/>
        </w:rPr>
        <w:t xml:space="preserve">di H0, in particolare per la serie completa (percentuali comunque inferiori all’8%). Per tutti gli altri mesi le percentuali di rifiuto di H0 sono da ritenersi trascurabili. </w:t>
      </w:r>
      <w:r w:rsidRPr="00C81FC5">
        <w:rPr>
          <w:rFonts w:cs="Calibri"/>
          <w:sz w:val="20"/>
          <w:szCs w:val="20"/>
        </w:rPr>
        <w:lastRenderedPageBreak/>
        <w:t>Considerando infine la precipitazione cumulata stagionale, si osservano in generale valori di rifiuto pressoché trascurabili (sempre inferiori al 5%) con una presenza un p</w:t>
      </w:r>
      <w:r>
        <w:rPr>
          <w:rFonts w:cs="Calibri"/>
          <w:sz w:val="20"/>
          <w:szCs w:val="20"/>
        </w:rPr>
        <w:t>ò</w:t>
      </w:r>
      <w:r w:rsidRPr="00C81FC5">
        <w:rPr>
          <w:rFonts w:cs="Calibri"/>
          <w:sz w:val="20"/>
          <w:szCs w:val="20"/>
        </w:rPr>
        <w:t xml:space="preserve"> più marcata per </w:t>
      </w:r>
      <w:r>
        <w:rPr>
          <w:rFonts w:cs="Calibri"/>
          <w:sz w:val="20"/>
          <w:szCs w:val="20"/>
        </w:rPr>
        <w:t>i periodi aprile-giugno e gennaio-marzo.</w:t>
      </w:r>
    </w:p>
    <w:p w:rsidR="00826461" w:rsidRPr="00EC1516" w:rsidRDefault="00826461" w:rsidP="00826461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E422F">
        <w:rPr>
          <w:rFonts w:cs="Calibri"/>
          <w:sz w:val="20"/>
          <w:szCs w:val="20"/>
        </w:rPr>
        <w:t>Da tale analisi non si evincono differenze sostanziali nella bontà di a</w:t>
      </w:r>
      <w:r>
        <w:rPr>
          <w:rFonts w:cs="Calibri"/>
          <w:sz w:val="20"/>
          <w:szCs w:val="20"/>
        </w:rPr>
        <w:t>dattamento della distribuzione g</w:t>
      </w:r>
      <w:r w:rsidRPr="004E422F">
        <w:rPr>
          <w:rFonts w:cs="Calibri"/>
          <w:sz w:val="20"/>
          <w:szCs w:val="20"/>
        </w:rPr>
        <w:t xml:space="preserve">amma in relazione </w:t>
      </w:r>
      <w:r>
        <w:rPr>
          <w:rFonts w:cs="Calibri"/>
          <w:sz w:val="20"/>
          <w:szCs w:val="20"/>
        </w:rPr>
        <w:t xml:space="preserve">alle due sotto-serie esaminate. </w:t>
      </w:r>
    </w:p>
    <w:p w:rsidR="00826461" w:rsidRPr="004E6491" w:rsidRDefault="00826461" w:rsidP="00826461">
      <w:pPr>
        <w:jc w:val="both"/>
        <w:rPr>
          <w:sz w:val="20"/>
          <w:szCs w:val="20"/>
        </w:rPr>
      </w:pPr>
      <w:r w:rsidRPr="004E6491">
        <w:rPr>
          <w:noProof/>
          <w:lang w:val="en-IE" w:eastAsia="en-IE"/>
        </w:rPr>
        <w:drawing>
          <wp:inline distT="0" distB="0" distL="0" distR="0">
            <wp:extent cx="3057525" cy="1943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Pr="00141F0E" w:rsidRDefault="00826461" w:rsidP="00826461">
      <w:pPr>
        <w:jc w:val="both"/>
        <w:rPr>
          <w:rFonts w:cs="Calibri"/>
          <w:i/>
          <w:color w:val="000000"/>
          <w:sz w:val="20"/>
          <w:szCs w:val="20"/>
        </w:rPr>
      </w:pPr>
      <w:r w:rsidRPr="00141F0E">
        <w:rPr>
          <w:i/>
          <w:sz w:val="20"/>
          <w:szCs w:val="20"/>
        </w:rPr>
        <w:t xml:space="preserve">Fig. 2. </w:t>
      </w:r>
      <w:r w:rsidRPr="00141F0E">
        <w:rPr>
          <w:rFonts w:cs="Calibri"/>
          <w:i/>
          <w:color w:val="000000"/>
          <w:sz w:val="20"/>
          <w:szCs w:val="20"/>
        </w:rPr>
        <w:t xml:space="preserve">Percentuale di stazioni per le quali viene rifiutata l'ipotesi che le serie di precipitazione mensile (di tre differenti periodi) seguano la distribuzione gamma (α=0,01) </w:t>
      </w:r>
    </w:p>
    <w:p w:rsidR="00826461" w:rsidRPr="00141F0E" w:rsidRDefault="00826461" w:rsidP="00826461">
      <w:pPr>
        <w:jc w:val="both"/>
        <w:rPr>
          <w:rFonts w:cs="Calibri"/>
          <w:i/>
          <w:sz w:val="20"/>
          <w:szCs w:val="20"/>
          <w:lang w:val="en-US"/>
        </w:rPr>
      </w:pPr>
      <w:r w:rsidRPr="00141F0E">
        <w:rPr>
          <w:i/>
          <w:sz w:val="20"/>
          <w:szCs w:val="20"/>
          <w:lang w:val="en-US"/>
        </w:rPr>
        <w:t xml:space="preserve">Fig. 2 – Percentage of stations for which </w:t>
      </w:r>
      <w:r w:rsidRPr="00141F0E">
        <w:rPr>
          <w:rFonts w:cs="Calibri"/>
          <w:i/>
          <w:sz w:val="20"/>
          <w:szCs w:val="20"/>
          <w:lang w:val="en-US"/>
        </w:rPr>
        <w:t>the hypothesis that monthly precipitation samples (of three different time series) are gamma distributed is rejected (</w:t>
      </w:r>
      <w:r w:rsidRPr="00141F0E">
        <w:rPr>
          <w:rFonts w:cs="Calibri"/>
          <w:i/>
          <w:sz w:val="20"/>
          <w:szCs w:val="20"/>
        </w:rPr>
        <w:t>α</w:t>
      </w:r>
      <w:r w:rsidRPr="00141F0E">
        <w:rPr>
          <w:rFonts w:cs="Calibri"/>
          <w:i/>
          <w:sz w:val="20"/>
          <w:szCs w:val="20"/>
          <w:lang w:val="en-US"/>
        </w:rPr>
        <w:t xml:space="preserve">=0,01)  </w:t>
      </w:r>
    </w:p>
    <w:p w:rsidR="00826461" w:rsidRPr="004F2CDC" w:rsidRDefault="00826461" w:rsidP="00826461">
      <w:pPr>
        <w:jc w:val="both"/>
        <w:rPr>
          <w:sz w:val="20"/>
          <w:szCs w:val="20"/>
          <w:lang w:val="en-US"/>
        </w:rPr>
      </w:pPr>
    </w:p>
    <w:p w:rsidR="00826461" w:rsidRPr="004E6491" w:rsidRDefault="00826461" w:rsidP="00826461">
      <w:pPr>
        <w:jc w:val="both"/>
        <w:rPr>
          <w:sz w:val="20"/>
          <w:szCs w:val="20"/>
        </w:rPr>
      </w:pPr>
      <w:r w:rsidRPr="004E6491">
        <w:rPr>
          <w:noProof/>
          <w:lang w:val="en-IE" w:eastAsia="en-IE"/>
        </w:rPr>
        <w:drawing>
          <wp:inline distT="0" distB="0" distL="0" distR="0">
            <wp:extent cx="305752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1" w:rsidRDefault="00826461" w:rsidP="00826461">
      <w:pPr>
        <w:jc w:val="both"/>
        <w:rPr>
          <w:sz w:val="20"/>
          <w:szCs w:val="20"/>
        </w:rPr>
      </w:pPr>
    </w:p>
    <w:p w:rsidR="00826461" w:rsidRPr="00141F0E" w:rsidRDefault="00826461" w:rsidP="00826461">
      <w:pPr>
        <w:jc w:val="both"/>
        <w:rPr>
          <w:rFonts w:cs="Calibri"/>
          <w:i/>
          <w:color w:val="000000"/>
          <w:sz w:val="20"/>
          <w:szCs w:val="20"/>
        </w:rPr>
      </w:pPr>
      <w:r w:rsidRPr="00141F0E">
        <w:rPr>
          <w:i/>
          <w:sz w:val="20"/>
          <w:szCs w:val="20"/>
        </w:rPr>
        <w:t xml:space="preserve">Fig. 2 - </w:t>
      </w:r>
      <w:r w:rsidRPr="00141F0E">
        <w:rPr>
          <w:rFonts w:cs="Calibri"/>
          <w:i/>
          <w:color w:val="000000"/>
          <w:sz w:val="20"/>
          <w:szCs w:val="20"/>
        </w:rPr>
        <w:t xml:space="preserve">Percentuale di stazioni per le quali viene rifiutata l'ipotesi che i campioni di precipitazione stagionale (relativi a tre differenti serie storiche) seguano la distribuzione gamma (α=0,01) </w:t>
      </w:r>
    </w:p>
    <w:p w:rsidR="00826461" w:rsidRPr="00141F0E" w:rsidRDefault="00826461" w:rsidP="00826461">
      <w:pPr>
        <w:jc w:val="both"/>
        <w:rPr>
          <w:rFonts w:cs="Calibri"/>
          <w:i/>
          <w:sz w:val="20"/>
          <w:szCs w:val="20"/>
          <w:lang w:val="en-US"/>
        </w:rPr>
      </w:pPr>
      <w:r w:rsidRPr="00141F0E">
        <w:rPr>
          <w:i/>
          <w:sz w:val="20"/>
          <w:szCs w:val="20"/>
          <w:lang w:val="en-US"/>
        </w:rPr>
        <w:t xml:space="preserve">Fig. 2 - Percentage of stations for which </w:t>
      </w:r>
      <w:r w:rsidRPr="00141F0E">
        <w:rPr>
          <w:rFonts w:cs="Calibri"/>
          <w:i/>
          <w:sz w:val="20"/>
          <w:szCs w:val="20"/>
          <w:lang w:val="en-US"/>
        </w:rPr>
        <w:t>the hypothesis that seasonal precipitation samples (of three different time series) are gamma distributed is rejected (</w:t>
      </w:r>
      <w:r w:rsidRPr="00141F0E">
        <w:rPr>
          <w:rFonts w:cs="Calibri"/>
          <w:i/>
          <w:sz w:val="20"/>
          <w:szCs w:val="20"/>
        </w:rPr>
        <w:t>α</w:t>
      </w:r>
      <w:r w:rsidRPr="00141F0E">
        <w:rPr>
          <w:rFonts w:cs="Calibri"/>
          <w:i/>
          <w:sz w:val="20"/>
          <w:szCs w:val="20"/>
          <w:lang w:val="en-US"/>
        </w:rPr>
        <w:t xml:space="preserve">=0,01)  </w:t>
      </w:r>
    </w:p>
    <w:p w:rsidR="00826461" w:rsidRPr="00994E8D" w:rsidRDefault="00826461" w:rsidP="00826461">
      <w:pPr>
        <w:jc w:val="both"/>
        <w:rPr>
          <w:rFonts w:cs="Calibri"/>
          <w:color w:val="FF0000"/>
          <w:sz w:val="20"/>
          <w:szCs w:val="20"/>
          <w:lang w:val="en-US"/>
        </w:rPr>
      </w:pPr>
    </w:p>
    <w:p w:rsidR="00826461" w:rsidRDefault="00826461" w:rsidP="00826461">
      <w:pPr>
        <w:pStyle w:val="BodyText22"/>
        <w:overflowPunct/>
        <w:autoSpaceDE/>
        <w:spacing w:line="240" w:lineRule="auto"/>
        <w:rPr>
          <w:rFonts w:cs="Calibri"/>
          <w:sz w:val="20"/>
          <w:lang w:eastAsia="it-IT"/>
        </w:rPr>
      </w:pPr>
      <w:r>
        <w:rPr>
          <w:rFonts w:cs="Calibri"/>
          <w:sz w:val="20"/>
          <w:lang w:eastAsia="it-IT"/>
        </w:rPr>
        <w:t xml:space="preserve">Per la precipitazione cumulata del mese di Ottobre, che presenta il maggior numero di casi di rifiuto di H0, sono state fatte ulteriori verifiche: 1) presenza di eventuali pattern spaziali nella localizzazione delle stazioni per le quali H0 è rifiutata; 2) adattamento di distribuzioni alternative a 2 (Weibull) e a 3 parametri (Generalized Extreme Value distribution, GEV). La prima analisi ha evidenziato una </w:t>
      </w:r>
      <w:r>
        <w:rPr>
          <w:rFonts w:cs="Calibri"/>
          <w:sz w:val="20"/>
          <w:lang w:eastAsia="it-IT"/>
        </w:rPr>
        <w:lastRenderedPageBreak/>
        <w:t xml:space="preserve">distribuzione preferenziale lungo la dorsale appenninica e nelle zone interne della provincia di Chieti. La seconda verifica, condotta con la stessa metodologia adottata per la distribuzione Gamma, ha portato, (relativamente alla serie completa 1951-2009), ad un minore numero di casi di rifiuto per la Weibull (8%) e addirittura a nessun caso di rifiuto per la distribuzione GEV. </w:t>
      </w:r>
    </w:p>
    <w:p w:rsidR="00826461" w:rsidRDefault="00826461" w:rsidP="00826461">
      <w:pPr>
        <w:pStyle w:val="BodyText22"/>
        <w:overflowPunct/>
        <w:autoSpaceDE/>
        <w:spacing w:line="240" w:lineRule="auto"/>
        <w:rPr>
          <w:rFonts w:cs="Calibri"/>
          <w:sz w:val="20"/>
          <w:lang w:eastAsia="it-IT"/>
        </w:rPr>
      </w:pPr>
      <w:r>
        <w:rPr>
          <w:rFonts w:cs="Calibri"/>
          <w:sz w:val="20"/>
          <w:lang w:eastAsia="it-IT"/>
        </w:rPr>
        <w:t>Gli effetti pratici di un’errata scelta della distribuzione di probabilità possono essere rilevanti in termini previsionali e di valutazione del rischio associato al verificarsi di valori estremi. A titolo di esempio, i valori di precipitazione corrispondenti alle probabilità cumulate 0,023 (SPI=-2) e 0,977 (SPI=2) per il mese di Ottobre a Lanciano, risultano pari rispettivamente a 8 e 249 mm, se si ipotizza una distribuzione Gamma (ipotesi di adattamento non accettabile). Ipotizzando invece una distribuzione GEV (ipotesi di adattamento accettabile), gli stessi valori risultano rispettivamente  2 e 145 mm.</w:t>
      </w:r>
    </w:p>
    <w:p w:rsidR="00826461" w:rsidRPr="00501412" w:rsidRDefault="00826461" w:rsidP="00826461">
      <w:pPr>
        <w:pStyle w:val="BodyText22"/>
        <w:overflowPunct/>
        <w:autoSpaceDE/>
        <w:spacing w:line="240" w:lineRule="auto"/>
        <w:rPr>
          <w:rFonts w:cs="Calibri"/>
          <w:sz w:val="20"/>
          <w:lang w:eastAsia="it-IT"/>
        </w:rPr>
      </w:pPr>
      <w:r>
        <w:rPr>
          <w:rFonts w:cs="Calibri"/>
          <w:sz w:val="20"/>
          <w:lang w:eastAsia="it-IT"/>
        </w:rPr>
        <w:t>È opportuno sottolineare che molti software che permettono di calcolare in maniera automatica l’indice SPI sono fondati sull’adattamento della precipitazione cumulata alla distribuzione Gamma, senza possibilità di intervenire su tale scelta.</w:t>
      </w:r>
    </w:p>
    <w:p w:rsidR="00826461" w:rsidRPr="00501412" w:rsidRDefault="00826461" w:rsidP="00826461">
      <w:pPr>
        <w:pStyle w:val="BodyText22"/>
        <w:overflowPunct/>
        <w:autoSpaceDE/>
        <w:spacing w:line="240" w:lineRule="auto"/>
      </w:pPr>
    </w:p>
    <w:p w:rsidR="00826461" w:rsidRDefault="00826461" w:rsidP="00826461">
      <w:pPr>
        <w:pStyle w:val="BodyText22"/>
        <w:overflowPunct/>
        <w:autoSpaceDE/>
        <w:spacing w:line="240" w:lineRule="auto"/>
      </w:pPr>
      <w:r>
        <w:rPr>
          <w:b/>
          <w:sz w:val="20"/>
          <w:szCs w:val="24"/>
        </w:rPr>
        <w:t>Conclusioni</w:t>
      </w:r>
    </w:p>
    <w:p w:rsidR="00826461" w:rsidRDefault="00826461" w:rsidP="00826461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</w:t>
      </w:r>
      <w:r w:rsidRPr="001374A3">
        <w:rPr>
          <w:rFonts w:cs="Calibri"/>
          <w:sz w:val="20"/>
          <w:szCs w:val="20"/>
        </w:rPr>
        <w:t xml:space="preserve">a distribuzione gamma </w:t>
      </w:r>
      <w:r>
        <w:rPr>
          <w:rFonts w:cs="Calibri"/>
          <w:sz w:val="20"/>
          <w:szCs w:val="20"/>
        </w:rPr>
        <w:t>può essere</w:t>
      </w:r>
      <w:r w:rsidRPr="001374A3">
        <w:rPr>
          <w:rFonts w:cs="Calibri"/>
          <w:sz w:val="20"/>
          <w:szCs w:val="20"/>
        </w:rPr>
        <w:t xml:space="preserve"> ritenuta generalmente adeguata alla descrizione della precipitazione cumulata mensile e st</w:t>
      </w:r>
      <w:r>
        <w:rPr>
          <w:rFonts w:cs="Calibri"/>
          <w:sz w:val="20"/>
          <w:szCs w:val="20"/>
        </w:rPr>
        <w:t>agionale nella regione Abruzzo. La mancanza di adattamento evidenziata per alcuni mesi e periodi, può rendere opportuno approfondire l</w:t>
      </w:r>
      <w:r w:rsidRPr="001374A3">
        <w:rPr>
          <w:rFonts w:cs="Calibri"/>
          <w:sz w:val="20"/>
          <w:szCs w:val="20"/>
        </w:rPr>
        <w:t xml:space="preserve">’analisi </w:t>
      </w:r>
      <w:r>
        <w:rPr>
          <w:rFonts w:cs="Calibri"/>
          <w:sz w:val="20"/>
          <w:szCs w:val="20"/>
        </w:rPr>
        <w:t>considerando la possibilità di adottare distribuzioni alternative come la Weibull (rimanendo nell’ambito di distribuzioni a 2 parametri) o la GEV, a 3 parametri.</w:t>
      </w:r>
    </w:p>
    <w:p w:rsidR="00826461" w:rsidRPr="004E422F" w:rsidRDefault="00826461" w:rsidP="00826461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generale diminuzione di precipitazione osservata a partire </w:t>
      </w:r>
      <w:r>
        <w:rPr>
          <w:sz w:val="20"/>
          <w:szCs w:val="20"/>
        </w:rPr>
        <w:t xml:space="preserve">dal 1980 </w:t>
      </w:r>
      <w:r w:rsidRPr="007A26D6">
        <w:rPr>
          <w:sz w:val="20"/>
          <w:szCs w:val="20"/>
        </w:rPr>
        <w:t>(Di Lena et al., 2012)</w:t>
      </w:r>
      <w:r>
        <w:rPr>
          <w:sz w:val="20"/>
          <w:szCs w:val="20"/>
        </w:rPr>
        <w:t xml:space="preserve"> non sembra essere associata a significativi cambiamenti sul tipo di distribuzione di probabilità della precipitazione mensile, anche se certamente sono attese delle variazioni a carico dei parametri delle distribuzioni che dovranno essere certamente investigate al fine di una maggiore comprensione dei cambiamenti in atto.</w:t>
      </w:r>
    </w:p>
    <w:p w:rsidR="00826461" w:rsidRDefault="00826461" w:rsidP="00826461">
      <w:pPr>
        <w:pStyle w:val="BodyText22"/>
        <w:overflowPunct/>
        <w:autoSpaceDE/>
        <w:spacing w:line="240" w:lineRule="auto"/>
      </w:pPr>
    </w:p>
    <w:p w:rsidR="00826461" w:rsidRPr="00E25823" w:rsidRDefault="00826461" w:rsidP="00826461">
      <w:pPr>
        <w:pStyle w:val="BodyText22"/>
        <w:overflowPunct/>
        <w:autoSpaceDE/>
        <w:spacing w:line="240" w:lineRule="auto"/>
        <w:rPr>
          <w:b/>
          <w:sz w:val="20"/>
          <w:szCs w:val="24"/>
        </w:rPr>
      </w:pPr>
      <w:r w:rsidRPr="00E25823">
        <w:rPr>
          <w:b/>
          <w:sz w:val="20"/>
          <w:szCs w:val="24"/>
        </w:rPr>
        <w:t>Bibliografia</w:t>
      </w:r>
    </w:p>
    <w:p w:rsidR="00826461" w:rsidRDefault="00826461" w:rsidP="00826461">
      <w:p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  <w:lang w:val="en-US"/>
        </w:rPr>
      </w:pPr>
      <w:r w:rsidRPr="001374A3">
        <w:rPr>
          <w:rFonts w:cs="Calibri"/>
          <w:sz w:val="20"/>
          <w:szCs w:val="20"/>
        </w:rPr>
        <w:t>Capasso M, Alessi L, Barigozzi M, Fagiolo G</w:t>
      </w:r>
      <w:r>
        <w:rPr>
          <w:rFonts w:cs="Calibri"/>
          <w:sz w:val="20"/>
          <w:szCs w:val="20"/>
        </w:rPr>
        <w:t>., 2009</w:t>
      </w:r>
      <w:r w:rsidRPr="001374A3">
        <w:rPr>
          <w:rFonts w:cs="Calibri"/>
          <w:sz w:val="20"/>
          <w:szCs w:val="20"/>
        </w:rPr>
        <w:t xml:space="preserve">.  </w:t>
      </w:r>
      <w:r w:rsidRPr="001374A3">
        <w:rPr>
          <w:rFonts w:cs="Calibri"/>
          <w:sz w:val="20"/>
          <w:szCs w:val="20"/>
          <w:lang w:val="en-US"/>
        </w:rPr>
        <w:t xml:space="preserve">On approximating the distributions of goodness-of-fit test statistics based on the empirical distribution function: The case of unknown parameters, </w:t>
      </w:r>
      <w:proofErr w:type="spellStart"/>
      <w:r w:rsidRPr="001374A3">
        <w:rPr>
          <w:rFonts w:cs="Calibri"/>
          <w:sz w:val="20"/>
          <w:szCs w:val="20"/>
          <w:lang w:val="en-US"/>
        </w:rPr>
        <w:t>A</w:t>
      </w:r>
      <w:r>
        <w:rPr>
          <w:rFonts w:cs="Calibri"/>
          <w:sz w:val="20"/>
          <w:szCs w:val="20"/>
          <w:lang w:val="en-US"/>
        </w:rPr>
        <w:t>dv</w:t>
      </w:r>
      <w:proofErr w:type="spellEnd"/>
      <w:r>
        <w:rPr>
          <w:rFonts w:cs="Calibri"/>
          <w:sz w:val="20"/>
          <w:szCs w:val="20"/>
          <w:lang w:val="en-US"/>
        </w:rPr>
        <w:t xml:space="preserve"> Complex </w:t>
      </w:r>
      <w:proofErr w:type="spellStart"/>
      <w:r>
        <w:rPr>
          <w:rFonts w:cs="Calibri"/>
          <w:sz w:val="20"/>
          <w:szCs w:val="20"/>
          <w:lang w:val="en-US"/>
        </w:rPr>
        <w:t>Syst</w:t>
      </w:r>
      <w:proofErr w:type="spellEnd"/>
      <w:r>
        <w:rPr>
          <w:rFonts w:cs="Calibri"/>
          <w:sz w:val="20"/>
          <w:szCs w:val="20"/>
          <w:lang w:val="en-US"/>
        </w:rPr>
        <w:t>, Vol. 12 (2) 2:</w:t>
      </w:r>
      <w:r w:rsidRPr="001374A3">
        <w:rPr>
          <w:rFonts w:cs="Calibri"/>
          <w:sz w:val="20"/>
          <w:szCs w:val="20"/>
          <w:lang w:val="en-US"/>
        </w:rPr>
        <w:t>157–167</w:t>
      </w:r>
    </w:p>
    <w:p w:rsidR="00826461" w:rsidRPr="00826461" w:rsidRDefault="00826461" w:rsidP="00826461">
      <w:pPr>
        <w:ind w:left="180" w:hanging="180"/>
        <w:jc w:val="both"/>
        <w:rPr>
          <w:sz w:val="20"/>
          <w:szCs w:val="20"/>
          <w:lang w:val="en-IE"/>
        </w:rPr>
      </w:pPr>
      <w:r w:rsidRPr="007A26D6">
        <w:rPr>
          <w:sz w:val="20"/>
          <w:szCs w:val="20"/>
        </w:rPr>
        <w:t xml:space="preserve">Di Lena B., Antenucci F, Mariani L., </w:t>
      </w:r>
      <w:r>
        <w:rPr>
          <w:sz w:val="20"/>
          <w:szCs w:val="20"/>
        </w:rPr>
        <w:t>2012.</w:t>
      </w:r>
      <w:r w:rsidRPr="007A26D6">
        <w:rPr>
          <w:sz w:val="20"/>
          <w:szCs w:val="20"/>
        </w:rPr>
        <w:t xml:space="preserve">  </w:t>
      </w:r>
      <w:r>
        <w:rPr>
          <w:sz w:val="20"/>
          <w:szCs w:val="20"/>
          <w:lang w:val="en-GB"/>
        </w:rPr>
        <w:t>Space and time evolution of the A</w:t>
      </w:r>
      <w:r w:rsidRPr="001374A3">
        <w:rPr>
          <w:sz w:val="20"/>
          <w:szCs w:val="20"/>
          <w:lang w:val="en-GB"/>
        </w:rPr>
        <w:t>bruzzo precipi</w:t>
      </w:r>
      <w:r>
        <w:rPr>
          <w:sz w:val="20"/>
          <w:szCs w:val="20"/>
          <w:lang w:val="en-GB"/>
        </w:rPr>
        <w:t xml:space="preserve">tation. </w:t>
      </w:r>
      <w:r w:rsidRPr="00826461">
        <w:rPr>
          <w:sz w:val="20"/>
          <w:szCs w:val="20"/>
          <w:lang w:val="en-IE"/>
        </w:rPr>
        <w:t xml:space="preserve">Italian Journal </w:t>
      </w:r>
      <w:proofErr w:type="spellStart"/>
      <w:r w:rsidRPr="00826461">
        <w:rPr>
          <w:sz w:val="20"/>
          <w:szCs w:val="20"/>
          <w:lang w:val="en-IE"/>
        </w:rPr>
        <w:t>Agrometeorology</w:t>
      </w:r>
      <w:proofErr w:type="spellEnd"/>
      <w:r w:rsidRPr="00826461">
        <w:rPr>
          <w:sz w:val="20"/>
          <w:szCs w:val="20"/>
          <w:lang w:val="en-IE"/>
        </w:rPr>
        <w:t xml:space="preserve"> 1: 5-20 </w:t>
      </w:r>
    </w:p>
    <w:p w:rsidR="00826461" w:rsidRDefault="00826461" w:rsidP="00826461">
      <w:pPr>
        <w:autoSpaceDE w:val="0"/>
        <w:autoSpaceDN w:val="0"/>
        <w:adjustRightInd w:val="0"/>
        <w:ind w:left="284" w:hanging="284"/>
        <w:jc w:val="both"/>
        <w:rPr>
          <w:rFonts w:cs="Calibri"/>
          <w:sz w:val="20"/>
          <w:szCs w:val="20"/>
          <w:lang w:val="en-US"/>
        </w:rPr>
      </w:pPr>
      <w:proofErr w:type="gramStart"/>
      <w:r w:rsidRPr="003A7E16">
        <w:rPr>
          <w:color w:val="000000"/>
          <w:sz w:val="20"/>
          <w:szCs w:val="20"/>
          <w:lang w:val="en-US"/>
        </w:rPr>
        <w:t>Kohler  M.A.</w:t>
      </w:r>
      <w:proofErr w:type="gramEnd"/>
      <w:r w:rsidRPr="003A7E16">
        <w:rPr>
          <w:color w:val="000000"/>
          <w:sz w:val="20"/>
          <w:szCs w:val="20"/>
          <w:lang w:val="en-US"/>
        </w:rPr>
        <w:t xml:space="preserve">, 1949 Double-mass analysis for testing the consistency of records and for making adjustments. Bull Am </w:t>
      </w:r>
      <w:proofErr w:type="spellStart"/>
      <w:r w:rsidRPr="003A7E16">
        <w:rPr>
          <w:color w:val="000000"/>
          <w:sz w:val="20"/>
          <w:szCs w:val="20"/>
          <w:lang w:val="en-US"/>
        </w:rPr>
        <w:t>Meteorol</w:t>
      </w:r>
      <w:proofErr w:type="spellEnd"/>
      <w:r w:rsidRPr="003A7E16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3A7E16">
        <w:rPr>
          <w:color w:val="000000"/>
          <w:sz w:val="20"/>
          <w:szCs w:val="20"/>
          <w:lang w:val="en-US"/>
        </w:rPr>
        <w:t>Soc</w:t>
      </w:r>
      <w:proofErr w:type="spellEnd"/>
      <w:r w:rsidRPr="003A7E16">
        <w:rPr>
          <w:color w:val="000000"/>
          <w:sz w:val="20"/>
          <w:szCs w:val="20"/>
          <w:lang w:val="en-US"/>
        </w:rPr>
        <w:t xml:space="preserve"> 30: 188–189</w:t>
      </w:r>
    </w:p>
    <w:p w:rsidR="00896BE2" w:rsidRDefault="00896BE2"/>
    <w:sectPr w:rsidR="00896BE2">
      <w:type w:val="continuous"/>
      <w:pgSz w:w="11340" w:h="15026" w:code="9"/>
      <w:pgMar w:top="567" w:right="737" w:bottom="851" w:left="680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9E" w:rsidRDefault="008264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F9E" w:rsidRDefault="0082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9E" w:rsidRDefault="00826461">
    <w:pPr>
      <w:pStyle w:val="Footer"/>
      <w:framePr w:wrap="around" w:vAnchor="text" w:hAnchor="margin" w:xAlign="center" w:y="1"/>
      <w:rPr>
        <w:rStyle w:val="PageNumber"/>
      </w:rPr>
    </w:pPr>
  </w:p>
  <w:p w:rsidR="00E46F9E" w:rsidRDefault="0082646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61"/>
    <w:rsid w:val="00826461"/>
    <w:rsid w:val="008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BF9D3-23EE-4D52-87A1-7A64D173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rsid w:val="00826461"/>
    <w:pPr>
      <w:keepNext/>
      <w:numPr>
        <w:ilvl w:val="1"/>
        <w:numId w:val="1"/>
      </w:numPr>
      <w:suppressAutoHyphens/>
      <w:jc w:val="both"/>
      <w:outlineLvl w:val="1"/>
    </w:pPr>
    <w:rPr>
      <w:b/>
      <w:sz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26461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826461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BodyText22">
    <w:name w:val="Body Text 22"/>
    <w:basedOn w:val="Normal"/>
    <w:rsid w:val="00826461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paragraph" w:styleId="Footer">
    <w:name w:val="footer"/>
    <w:basedOn w:val="Normal"/>
    <w:link w:val="FooterChar"/>
    <w:rsid w:val="008264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264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826461"/>
  </w:style>
  <w:style w:type="paragraph" w:customStyle="1" w:styleId="BodyText21">
    <w:name w:val="Body Text 21"/>
    <w:basedOn w:val="Normal"/>
    <w:rsid w:val="00826461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4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6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64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826461"/>
    <w:rPr>
      <w:rFonts w:ascii="Times New Roman" w:eastAsia="Times New Roman" w:hAnsi="Times New Roman" w:cs="Times New Roman"/>
      <w:b/>
      <w:sz w:val="20"/>
      <w:szCs w:val="24"/>
      <w:lang w:val="en-GB" w:eastAsia="zh-CN"/>
    </w:rPr>
  </w:style>
  <w:style w:type="character" w:styleId="Hyperlink">
    <w:name w:val="Hyperlink"/>
    <w:rsid w:val="00826461"/>
    <w:rPr>
      <w:color w:val="0000FF"/>
      <w:u w:val="single"/>
    </w:rPr>
  </w:style>
  <w:style w:type="paragraph" w:customStyle="1" w:styleId="Titolo1">
    <w:name w:val="Titolo1"/>
    <w:basedOn w:val="Normal"/>
    <w:next w:val="BodyText"/>
    <w:rsid w:val="00826461"/>
    <w:pPr>
      <w:suppressAutoHyphens/>
      <w:spacing w:line="360" w:lineRule="auto"/>
      <w:jc w:val="center"/>
    </w:pPr>
    <w:rPr>
      <w:b/>
      <w:bCs/>
      <w:lang w:eastAsia="zh-CN"/>
    </w:rPr>
  </w:style>
  <w:style w:type="paragraph" w:customStyle="1" w:styleId="Corpodeltesto21">
    <w:name w:val="Corpo del testo 21"/>
    <w:basedOn w:val="Normal"/>
    <w:rsid w:val="00826461"/>
    <w:pPr>
      <w:suppressAutoHyphens/>
      <w:jc w:val="both"/>
    </w:pPr>
    <w:rPr>
      <w:b/>
      <w:bCs/>
      <w:lang w:eastAsia="zh-CN"/>
    </w:rPr>
  </w:style>
  <w:style w:type="paragraph" w:customStyle="1" w:styleId="Corpodeltesto31">
    <w:name w:val="Corpo del testo 31"/>
    <w:basedOn w:val="Normal"/>
    <w:rsid w:val="00826461"/>
    <w:pPr>
      <w:suppressAutoHyphens/>
    </w:pPr>
    <w:rPr>
      <w:b/>
      <w:bCs/>
      <w:color w:val="FF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2022-05-14T11:26:00Z</dcterms:created>
  <dcterms:modified xsi:type="dcterms:W3CDTF">2022-05-14T11:35:00Z</dcterms:modified>
</cp:coreProperties>
</file>